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2817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0E906A0">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47488AC8">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lang w:val="en-US" w:eastAsia="zh-CN"/>
              </w:rPr>
              <w:t>03.100</w:t>
            </w:r>
            <w:r>
              <w:rPr>
                <w:rFonts w:hint="default" w:ascii="黑体" w:hAnsi="黑体" w:eastAsia="黑体"/>
                <w:sz w:val="21"/>
                <w:szCs w:val="21"/>
                <w:lang w:val="en-US" w:eastAsia="zh-CN"/>
              </w:rPr>
              <w:t>.01</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14:paraId="7A505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184BA9">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48B526D6">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cs="Times New Roman"/>
                <w:kern w:val="2"/>
                <w:sz w:val="21"/>
                <w:szCs w:val="21"/>
                <w:lang w:val="en-US" w:eastAsia="zh-CN" w:bidi="ar-SA"/>
              </w:rPr>
              <w:fldChar w:fldCharType="begin">
                <w:ffData>
                  <w:name w:val="CSDN"/>
                  <w:enabled/>
                  <w:calcOnExit w:val="0"/>
                  <w:textInput>
                    <w:default w:val="A00"/>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A00</w:t>
            </w:r>
            <w:r>
              <w:rPr>
                <w:rFonts w:ascii="黑体" w:hAnsi="黑体" w:eastAsia="黑体" w:cs="Times New Roman"/>
                <w:kern w:val="2"/>
                <w:sz w:val="21"/>
                <w:szCs w:val="21"/>
                <w:lang w:val="en-US" w:eastAsia="zh-CN" w:bidi="ar-SA"/>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D55223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3B0ABD9">
            <w:pPr>
              <w:pStyle w:val="75"/>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37</w:t>
            </w:r>
            <w:r>
              <w:fldChar w:fldCharType="end"/>
            </w:r>
            <w:bookmarkEnd w:id="3"/>
          </w:p>
        </w:tc>
      </w:tr>
    </w:tbl>
    <w:p w14:paraId="23BA9A68">
      <w:pPr>
        <w:pStyle w:val="76"/>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A8A8896">
      <w:pPr>
        <w:pStyle w:val="202"/>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B959527">
      <w:pPr>
        <w:pStyle w:val="203"/>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21D06F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20F20BE8">
      <w:pPr>
        <w:pStyle w:val="76"/>
        <w:framePr w:w="9639" w:h="6976" w:hRule="exact" w:hSpace="0" w:vSpace="0" w:wrap="around" w:hAnchor="page" w:y="6408"/>
        <w:jc w:val="center"/>
        <w:rPr>
          <w:rFonts w:ascii="黑体" w:hAnsi="黑体" w:eastAsia="黑体"/>
          <w:b w:val="0"/>
          <w:bCs w:val="0"/>
          <w:w w:val="100"/>
        </w:rPr>
      </w:pPr>
    </w:p>
    <w:p w14:paraId="3EE2858C">
      <w:pPr>
        <w:pStyle w:val="204"/>
        <w:framePr w:h="6974" w:hRule="exact" w:wrap="around" w:x="1419" w:anchorLock="1"/>
        <w:rPr>
          <w:rFonts w:hint="eastAsia"/>
        </w:rPr>
      </w:pPr>
      <w:r>
        <w:rPr>
          <w:rFonts w:hint="eastAsia"/>
        </w:rPr>
        <w:t>药械化企业日常检查管理规范　</w:t>
      </w:r>
    </w:p>
    <w:p w14:paraId="156887B7">
      <w:pPr>
        <w:pStyle w:val="204"/>
        <w:framePr w:h="6974" w:hRule="exact" w:wrap="around" w:x="1419" w:anchorLock="1"/>
        <w:rPr>
          <w:rFonts w:hint="eastAsia" w:eastAsia="黑体"/>
          <w:lang w:val="en-US" w:eastAsia="zh-CN"/>
        </w:rPr>
      </w:pPr>
      <w:r>
        <w:rPr>
          <w:rFonts w:hint="eastAsia"/>
        </w:rPr>
        <w:t>第</w:t>
      </w:r>
      <w:r>
        <w:rPr>
          <w:rFonts w:hint="eastAsia"/>
          <w:lang w:val="en-US" w:eastAsia="zh-CN"/>
        </w:rPr>
        <w:t>1</w:t>
      </w:r>
      <w:r>
        <w:rPr>
          <w:rFonts w:hint="eastAsia"/>
        </w:rPr>
        <w:t>部分　</w:t>
      </w:r>
      <w:r>
        <w:rPr>
          <w:rFonts w:hint="eastAsia"/>
          <w:lang w:val="en-US" w:eastAsia="zh-CN"/>
        </w:rPr>
        <w:t>总则</w:t>
      </w:r>
    </w:p>
    <w:p w14:paraId="66E815E1">
      <w:pPr>
        <w:framePr w:w="9639" w:h="6974" w:hRule="exact" w:wrap="around" w:vAnchor="page" w:hAnchor="page" w:x="1419" w:y="6408" w:anchorLock="1"/>
        <w:ind w:left="-1418"/>
      </w:pPr>
    </w:p>
    <w:p w14:paraId="428DCD73">
      <w:pPr>
        <w:pStyle w:val="137"/>
        <w:framePr w:w="9639" w:h="6974" w:hRule="exact" w:wrap="around" w:vAnchor="page" w:hAnchor="page" w:x="1419" w:y="6408" w:anchorLock="1"/>
        <w:textAlignment w:val="bottom"/>
        <w:rPr>
          <w:rFonts w:eastAsia="黑体"/>
          <w:szCs w:val="28"/>
        </w:rPr>
      </w:pPr>
      <w:bookmarkStart w:id="9" w:name="ESTD_NAME"/>
      <w:r>
        <w:rPr>
          <w:rFonts w:hint="eastAsia" w:ascii="Times New Roman" w:hAnsi="Times New Roman" w:eastAsia="黑体" w:cs="Times New Roman"/>
          <w:sz w:val="28"/>
          <w:szCs w:val="28"/>
          <w:lang w:val="en-US" w:eastAsia="zh-CN" w:bidi="ar-SA"/>
        </w:rPr>
        <w:fldChar w:fldCharType="begin">
          <w:ffData>
            <w:name w:val="ESTD_NAME"/>
            <w:enabled/>
            <w:calcOnExit w:val="0"/>
            <w:textInput>
              <w:default w:val="Daily inspection and management standards of drug, medical device and cosmetics enterprise- part 1 : General"/>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Daily inspection and management standards of drug, medical device and cosmetics enterprise- part 1 : General</w:t>
      </w:r>
      <w:r>
        <w:rPr>
          <w:rFonts w:hint="eastAsia" w:ascii="Times New Roman" w:hAnsi="Times New Roman" w:eastAsia="黑体" w:cs="Times New Roman"/>
          <w:sz w:val="28"/>
          <w:szCs w:val="28"/>
          <w:lang w:val="en-US" w:eastAsia="zh-CN" w:bidi="ar-SA"/>
        </w:rPr>
        <w:fldChar w:fldCharType="end"/>
      </w:r>
      <w:bookmarkEnd w:id="9"/>
    </w:p>
    <w:p w14:paraId="342F7504">
      <w:pPr>
        <w:framePr w:w="9639" w:h="6974" w:hRule="exact" w:wrap="around" w:vAnchor="page" w:hAnchor="page" w:x="1419" w:y="6408" w:anchorLock="1"/>
        <w:spacing w:line="760" w:lineRule="exact"/>
        <w:ind w:left="-1418"/>
      </w:pPr>
    </w:p>
    <w:p w14:paraId="5639D843">
      <w:pPr>
        <w:pStyle w:val="137"/>
        <w:framePr w:w="9639" w:h="6974" w:hRule="exact" w:wrap="around" w:vAnchor="page" w:hAnchor="page" w:x="1419" w:y="6408" w:anchorLock="1"/>
        <w:textAlignment w:val="bottom"/>
        <w:rPr>
          <w:rFonts w:eastAsia="黑体"/>
          <w:szCs w:val="28"/>
        </w:rPr>
      </w:pPr>
    </w:p>
    <w:p w14:paraId="493382CE">
      <w:pPr>
        <w:pStyle w:val="13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Start w:id="10" w:name="下拉1"/>
      <w:r>
        <w:rPr>
          <w:rFonts w:hint="eastAsia"/>
          <w:sz w:val="24"/>
          <w:szCs w:val="28"/>
          <w:lang w:val="en-US" w:eastAsia="zh-CN"/>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10"/>
    </w:p>
    <w:p w14:paraId="6E2F2CA0">
      <w:pPr>
        <w:pStyle w:val="13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26769C7D">
      <w:pPr>
        <w:pStyle w:val="13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29FBAFC9">
      <w:pPr>
        <w:pStyle w:val="20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294947E8">
      <w:pPr>
        <w:pStyle w:val="20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5FBA293F">
      <w:pPr>
        <w:pStyle w:val="163"/>
        <w:framePr w:h="584" w:hRule="exact" w:hSpace="181" w:vSpace="181" w:wrap="around" w:y="15027"/>
        <w:rPr>
          <w:rFonts w:hint="eastAsia" w:hAnsi="黑体" w:eastAsia="黑体"/>
          <w:lang w:eastAsia="zh-CN"/>
        </w:rPr>
      </w:pPr>
      <w:r>
        <w:rPr>
          <w:rFonts w:hint="eastAsia" w:hAnsi="黑体"/>
          <w:w w:val="100"/>
          <w:sz w:val="28"/>
          <w:lang w:eastAsia="zh-CN"/>
        </w:rPr>
        <w:tab/>
      </w: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19"/>
      <w:r>
        <w:rPr>
          <w:rFonts w:ascii="Times New Roman"/>
          <w:w w:val="100"/>
          <w:sz w:val="28"/>
        </w:rPr>
        <w:t>  </w:t>
      </w:r>
      <w:r>
        <w:rPr>
          <w:rStyle w:val="234"/>
          <w:rFonts w:hint="eastAsia" w:hAnsi="黑体"/>
          <w:position w:val="0"/>
        </w:rPr>
        <w:t>发</w:t>
      </w:r>
      <w:r>
        <w:rPr>
          <w:rStyle w:val="234"/>
          <w:rFonts w:hint="eastAsia" w:hAnsi="黑体"/>
          <w:spacing w:val="0"/>
          <w:position w:val="0"/>
        </w:rPr>
        <w:t>布</w:t>
      </w:r>
      <w:r>
        <w:rPr>
          <w:rStyle w:val="234"/>
          <w:rFonts w:hint="eastAsia" w:hAnsi="黑体"/>
          <w:spacing w:val="0"/>
          <w:position w:val="0"/>
          <w:lang w:eastAsia="zh-CN"/>
        </w:rPr>
        <w:tab/>
      </w:r>
    </w:p>
    <w:p w14:paraId="0EF10AE9">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45DD8BAB">
      <w:pPr>
        <w:rPr>
          <w:spacing w:val="320"/>
        </w:rPr>
      </w:pPr>
    </w:p>
    <w:sdt>
      <w:sdtPr>
        <w:rPr>
          <w:rFonts w:ascii="宋体" w:hAnsi="宋体" w:eastAsia="宋体" w:cs="Times New Roman"/>
          <w:kern w:val="2"/>
          <w:sz w:val="21"/>
          <w:szCs w:val="21"/>
          <w:lang w:val="en-US" w:eastAsia="zh-CN" w:bidi="ar-SA"/>
        </w:rPr>
        <w:id w:val="147462582"/>
        <w15:color w:val="DBDBDB"/>
        <w:docPartObj>
          <w:docPartGallery w:val="Table of Contents"/>
          <w:docPartUnique/>
        </w:docPartObj>
      </w:sdtPr>
      <w:sdtEndPr>
        <w:rPr>
          <w:rFonts w:ascii="宋体" w:hAnsi="宋体" w:eastAsia="宋体" w:cs="Times New Roman"/>
          <w:kern w:val="2"/>
          <w:sz w:val="21"/>
          <w:szCs w:val="21"/>
          <w:lang w:val="en-US" w:eastAsia="zh-CN" w:bidi="ar-SA"/>
        </w:rPr>
      </w:sdtEndPr>
      <w:sdtContent>
        <w:p w14:paraId="61467F26">
          <w:pPr>
            <w:spacing w:before="0" w:beforeLines="0" w:after="0" w:afterLines="0" w:line="240" w:lineRule="auto"/>
            <w:ind w:left="0" w:leftChars="0" w:right="0" w:rightChars="0" w:firstLine="0" w:firstLineChars="0"/>
            <w:jc w:val="center"/>
          </w:pPr>
          <w:r>
            <w:rPr>
              <w:rFonts w:ascii="黑体" w:hAnsi="Times New Roman" w:eastAsia="黑体" w:cs="Times New Roman"/>
              <w:spacing w:val="320"/>
              <w:kern w:val="2"/>
              <w:sz w:val="32"/>
              <w:szCs w:val="24"/>
              <w:lang w:val="en-US" w:eastAsia="zh-CN" w:bidi="ar-SA"/>
            </w:rPr>
            <w:t>目</w:t>
          </w:r>
          <w:r>
            <w:rPr>
              <w:rFonts w:hint="eastAsia" w:ascii="黑体" w:hAnsi="Times New Roman" w:eastAsia="黑体" w:cs="Times New Roman"/>
              <w:spacing w:val="320"/>
              <w:kern w:val="2"/>
              <w:sz w:val="32"/>
              <w:szCs w:val="24"/>
              <w:lang w:val="en-US" w:eastAsia="zh-CN" w:bidi="ar-SA"/>
            </w:rPr>
            <w:t>次</w:t>
          </w:r>
        </w:p>
        <w:p w14:paraId="0C58E75A">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TOC \o "1-1" \h \u </w:instrText>
          </w:r>
          <w:r>
            <w:rPr>
              <w:rFonts w:ascii="宋体" w:eastAsia="宋体" w:cs="Times New Roman"/>
            </w:rPr>
            <w:fldChar w:fldCharType="separate"/>
          </w:r>
          <w:r>
            <w:rPr>
              <w:rFonts w:ascii="宋体" w:eastAsia="宋体" w:cs="Times New Roman"/>
            </w:rPr>
            <w:fldChar w:fldCharType="begin"/>
          </w:r>
          <w:r>
            <w:rPr>
              <w:rFonts w:ascii="宋体" w:eastAsia="宋体" w:cs="Times New Roman"/>
            </w:rPr>
            <w:instrText xml:space="preserve"> HYPERLINK \l _Toc30590 </w:instrText>
          </w:r>
          <w:r>
            <w:rPr>
              <w:rFonts w:ascii="宋体" w:eastAsia="宋体" w:cs="Times New Roman"/>
            </w:rPr>
            <w:fldChar w:fldCharType="separate"/>
          </w:r>
          <w:r>
            <w:rPr>
              <w:spacing w:val="0"/>
            </w:rPr>
            <w:t>前</w:t>
          </w:r>
          <w:r>
            <w:t>言</w:t>
          </w:r>
          <w:r>
            <w:tab/>
          </w:r>
          <w:r>
            <w:rPr>
              <w:rFonts w:hint="eastAsia"/>
              <w:lang w:val="en-US" w:eastAsia="zh-CN"/>
            </w:rPr>
            <w:t>I</w:t>
          </w:r>
          <w:r>
            <w:fldChar w:fldCharType="begin"/>
          </w:r>
          <w:r>
            <w:instrText xml:space="preserve"> PAGEREF _Toc30590 \h </w:instrText>
          </w:r>
          <w:r>
            <w:fldChar w:fldCharType="separate"/>
          </w:r>
          <w:r>
            <w:t>I</w:t>
          </w:r>
          <w:r>
            <w:fldChar w:fldCharType="end"/>
          </w:r>
          <w:r>
            <w:rPr>
              <w:rFonts w:ascii="宋体" w:eastAsia="宋体" w:cs="Times New Roman"/>
            </w:rPr>
            <w:fldChar w:fldCharType="end"/>
          </w:r>
        </w:p>
        <w:p w14:paraId="7A98517D">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 HYPERLINK \l _Toc12104 </w:instrText>
          </w:r>
          <w:r>
            <w:rPr>
              <w:rFonts w:ascii="宋体" w:eastAsia="宋体" w:cs="Times New Roman"/>
            </w:rPr>
            <w:fldChar w:fldCharType="separate"/>
          </w:r>
          <w:r>
            <w:rPr>
              <w:rFonts w:ascii="宋体" w:hAnsi="Calibri" w:eastAsia="宋体" w:cs="Times New Roman"/>
              <w:spacing w:val="0"/>
              <w:lang w:val="en-US" w:eastAsia="zh-CN" w:bidi="ar-SA"/>
            </w:rPr>
            <w:t>引</w:t>
          </w:r>
          <w:r>
            <w:rPr>
              <w:rFonts w:ascii="宋体" w:hAnsi="Calibri" w:eastAsia="宋体" w:cs="Times New Roman"/>
              <w:lang w:val="en-US" w:eastAsia="zh-CN" w:bidi="ar-SA"/>
            </w:rPr>
            <w:t>言</w:t>
          </w:r>
          <w:r>
            <w:tab/>
          </w:r>
          <w:r>
            <w:fldChar w:fldCharType="begin"/>
          </w:r>
          <w:r>
            <w:instrText xml:space="preserve"> PAGEREF _Toc12104 \h </w:instrText>
          </w:r>
          <w:r>
            <w:fldChar w:fldCharType="separate"/>
          </w:r>
          <w:r>
            <w:t>III</w:t>
          </w:r>
          <w:r>
            <w:fldChar w:fldCharType="end"/>
          </w:r>
          <w:r>
            <w:rPr>
              <w:rFonts w:ascii="宋体" w:eastAsia="宋体" w:cs="Times New Roman"/>
            </w:rPr>
            <w:fldChar w:fldCharType="end"/>
          </w:r>
        </w:p>
        <w:p w14:paraId="6F550750">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 HYPERLINK \l _Toc9032 </w:instrText>
          </w:r>
          <w:r>
            <w:rPr>
              <w:rFonts w:ascii="宋体" w:eastAsia="宋体" w:cs="Times New Roman"/>
            </w:rPr>
            <w:fldChar w:fldCharType="separate"/>
          </w:r>
          <w:r>
            <w:rPr>
              <w:rFonts w:hint="default" w:ascii="宋体" w:eastAsia="宋体" w:cs="Times New Roman"/>
              <w:i w:val="0"/>
            </w:rPr>
            <w:t xml:space="preserve">1 </w:t>
          </w:r>
          <w:r>
            <w:rPr>
              <w:rFonts w:hint="default"/>
            </w:rPr>
            <w:t>范围</w:t>
          </w:r>
          <w:r>
            <w:tab/>
          </w:r>
          <w:r>
            <w:fldChar w:fldCharType="begin"/>
          </w:r>
          <w:r>
            <w:instrText xml:space="preserve"> PAGEREF _Toc9032 \h </w:instrText>
          </w:r>
          <w:r>
            <w:fldChar w:fldCharType="separate"/>
          </w:r>
          <w:r>
            <w:t>1</w:t>
          </w:r>
          <w:r>
            <w:fldChar w:fldCharType="end"/>
          </w:r>
          <w:r>
            <w:rPr>
              <w:rFonts w:ascii="宋体" w:eastAsia="宋体" w:cs="Times New Roman"/>
            </w:rPr>
            <w:fldChar w:fldCharType="end"/>
          </w:r>
        </w:p>
        <w:p w14:paraId="634DC9E5">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 HYPERLINK \l _Toc4571 </w:instrText>
          </w:r>
          <w:r>
            <w:rPr>
              <w:rFonts w:ascii="宋体" w:eastAsia="宋体" w:cs="Times New Roman"/>
            </w:rPr>
            <w:fldChar w:fldCharType="separate"/>
          </w:r>
          <w:r>
            <w:rPr>
              <w:rFonts w:hint="default" w:ascii="宋体" w:eastAsia="宋体" w:cs="Times New Roman"/>
              <w:i w:val="0"/>
            </w:rPr>
            <w:t xml:space="preserve">2 </w:t>
          </w:r>
          <w:r>
            <w:rPr>
              <w:rFonts w:hint="default"/>
            </w:rPr>
            <w:t>规范性引用文件</w:t>
          </w:r>
          <w:r>
            <w:tab/>
          </w:r>
          <w:r>
            <w:fldChar w:fldCharType="begin"/>
          </w:r>
          <w:r>
            <w:instrText xml:space="preserve"> PAGEREF _Toc4571 \h </w:instrText>
          </w:r>
          <w:r>
            <w:fldChar w:fldCharType="separate"/>
          </w:r>
          <w:r>
            <w:t>1</w:t>
          </w:r>
          <w:r>
            <w:fldChar w:fldCharType="end"/>
          </w:r>
          <w:r>
            <w:rPr>
              <w:rFonts w:ascii="宋体" w:eastAsia="宋体" w:cs="Times New Roman"/>
            </w:rPr>
            <w:fldChar w:fldCharType="end"/>
          </w:r>
        </w:p>
        <w:p w14:paraId="7A577FCD">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 HYPERLINK \l _Toc20573 </w:instrText>
          </w:r>
          <w:r>
            <w:rPr>
              <w:rFonts w:ascii="宋体" w:eastAsia="宋体" w:cs="Times New Roman"/>
            </w:rPr>
            <w:fldChar w:fldCharType="separate"/>
          </w:r>
          <w:r>
            <w:rPr>
              <w:rFonts w:hint="default" w:ascii="宋体" w:eastAsia="宋体" w:cs="Times New Roman"/>
              <w:i w:val="0"/>
            </w:rPr>
            <w:t xml:space="preserve">3 </w:t>
          </w:r>
          <w:r>
            <w:rPr>
              <w:rFonts w:hint="default"/>
              <w:szCs w:val="21"/>
            </w:rPr>
            <w:t>术语和定义</w:t>
          </w:r>
          <w:r>
            <w:tab/>
          </w:r>
          <w:r>
            <w:fldChar w:fldCharType="begin"/>
          </w:r>
          <w:r>
            <w:instrText xml:space="preserve"> PAGEREF _Toc20573 \h </w:instrText>
          </w:r>
          <w:r>
            <w:fldChar w:fldCharType="separate"/>
          </w:r>
          <w:r>
            <w:t>1</w:t>
          </w:r>
          <w:r>
            <w:fldChar w:fldCharType="end"/>
          </w:r>
          <w:r>
            <w:rPr>
              <w:rFonts w:ascii="宋体" w:eastAsia="宋体" w:cs="Times New Roman"/>
            </w:rPr>
            <w:fldChar w:fldCharType="end"/>
          </w:r>
        </w:p>
        <w:p w14:paraId="663C228E">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 HYPERLINK \l _Toc30806 </w:instrText>
          </w:r>
          <w:r>
            <w:rPr>
              <w:rFonts w:ascii="宋体" w:eastAsia="宋体" w:cs="Times New Roman"/>
            </w:rPr>
            <w:fldChar w:fldCharType="separate"/>
          </w:r>
          <w:r>
            <w:rPr>
              <w:rFonts w:hint="default" w:ascii="宋体" w:eastAsia="宋体" w:cs="Times New Roman"/>
              <w:i w:val="0"/>
              <w:lang w:val="en-US" w:eastAsia="zh-CN"/>
            </w:rPr>
            <w:t xml:space="preserve">4 </w:t>
          </w:r>
          <w:r>
            <w:rPr>
              <w:rFonts w:hint="default"/>
              <w:szCs w:val="21"/>
              <w:lang w:val="en-US" w:eastAsia="zh-CN"/>
            </w:rPr>
            <w:t>基本原则</w:t>
          </w:r>
          <w:r>
            <w:tab/>
          </w:r>
          <w:r>
            <w:fldChar w:fldCharType="begin"/>
          </w:r>
          <w:r>
            <w:instrText xml:space="preserve"> PAGEREF _Toc30806 \h </w:instrText>
          </w:r>
          <w:r>
            <w:fldChar w:fldCharType="separate"/>
          </w:r>
          <w:r>
            <w:t>1</w:t>
          </w:r>
          <w:r>
            <w:fldChar w:fldCharType="end"/>
          </w:r>
          <w:r>
            <w:rPr>
              <w:rFonts w:ascii="宋体" w:eastAsia="宋体" w:cs="Times New Roman"/>
            </w:rPr>
            <w:fldChar w:fldCharType="end"/>
          </w:r>
        </w:p>
        <w:p w14:paraId="019EC211">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 HYPERLINK \l _Toc3933 </w:instrText>
          </w:r>
          <w:r>
            <w:rPr>
              <w:rFonts w:ascii="宋体" w:eastAsia="宋体" w:cs="Times New Roman"/>
            </w:rPr>
            <w:fldChar w:fldCharType="separate"/>
          </w:r>
          <w:r>
            <w:rPr>
              <w:rFonts w:hint="default" w:ascii="宋体" w:eastAsia="宋体" w:cs="Times New Roman"/>
              <w:i w:val="0"/>
              <w:szCs w:val="21"/>
              <w:lang w:val="en-US" w:eastAsia="zh-CN"/>
            </w:rPr>
            <w:t xml:space="preserve">5 </w:t>
          </w:r>
          <w:r>
            <w:rPr>
              <w:rFonts w:hint="default"/>
              <w:szCs w:val="21"/>
              <w:lang w:val="en-US" w:eastAsia="zh-CN"/>
            </w:rPr>
            <w:t>主要相关方</w:t>
          </w:r>
          <w:r>
            <w:tab/>
          </w:r>
          <w:r>
            <w:fldChar w:fldCharType="begin"/>
          </w:r>
          <w:r>
            <w:instrText xml:space="preserve"> PAGEREF _Toc3933 \h </w:instrText>
          </w:r>
          <w:r>
            <w:fldChar w:fldCharType="separate"/>
          </w:r>
          <w:r>
            <w:t>2</w:t>
          </w:r>
          <w:r>
            <w:fldChar w:fldCharType="end"/>
          </w:r>
          <w:r>
            <w:rPr>
              <w:rFonts w:ascii="宋体" w:eastAsia="宋体" w:cs="Times New Roman"/>
            </w:rPr>
            <w:fldChar w:fldCharType="end"/>
          </w:r>
        </w:p>
        <w:p w14:paraId="280EC955">
          <w:pPr>
            <w:pStyle w:val="20"/>
            <w:tabs>
              <w:tab w:val="right" w:leader="dot" w:pos="9344"/>
            </w:tabs>
            <w:spacing w:line="300" w:lineRule="exact"/>
            <w:rPr>
              <w:rFonts w:cs="Times New Roman"/>
            </w:rPr>
          </w:pPr>
          <w:r>
            <w:rPr>
              <w:rFonts w:ascii="宋体" w:eastAsia="宋体" w:cs="Times New Roman"/>
            </w:rPr>
            <w:fldChar w:fldCharType="begin"/>
          </w:r>
          <w:r>
            <w:rPr>
              <w:rFonts w:ascii="宋体" w:eastAsia="宋体" w:cs="Times New Roman"/>
            </w:rPr>
            <w:instrText xml:space="preserve"> HYPERLINK \l _Toc12581 </w:instrText>
          </w:r>
          <w:r>
            <w:rPr>
              <w:rFonts w:ascii="宋体" w:eastAsia="宋体" w:cs="Times New Roman"/>
            </w:rPr>
            <w:fldChar w:fldCharType="separate"/>
          </w:r>
          <w:r>
            <w:rPr>
              <w:rFonts w:hint="default" w:ascii="宋体" w:eastAsia="宋体" w:cs="Times New Roman"/>
              <w:i w:val="0"/>
              <w:szCs w:val="21"/>
              <w:lang w:val="en-US" w:eastAsia="zh-CN" w:bidi="ar-SA"/>
            </w:rPr>
            <w:t xml:space="preserve">6 </w:t>
          </w:r>
          <w:r>
            <w:rPr>
              <w:rFonts w:hint="default" w:cs="Times New Roman"/>
              <w:szCs w:val="21"/>
              <w:lang w:val="en-US" w:eastAsia="zh-CN" w:bidi="ar-SA"/>
            </w:rPr>
            <w:t>检查人员</w:t>
          </w:r>
          <w:r>
            <w:rPr>
              <w:rFonts w:cs="Times New Roman"/>
            </w:rPr>
            <w:tab/>
          </w:r>
          <w:r>
            <w:rPr>
              <w:rFonts w:cs="Times New Roman"/>
            </w:rPr>
            <w:fldChar w:fldCharType="begin"/>
          </w:r>
          <w:r>
            <w:rPr>
              <w:rFonts w:cs="Times New Roman"/>
            </w:rPr>
            <w:instrText xml:space="preserve"> PAGEREF _Toc12581 \h </w:instrText>
          </w:r>
          <w:r>
            <w:rPr>
              <w:rFonts w:cs="Times New Roman"/>
            </w:rPr>
            <w:fldChar w:fldCharType="separate"/>
          </w:r>
          <w:r>
            <w:rPr>
              <w:rFonts w:cs="Times New Roman"/>
            </w:rPr>
            <w:t>2</w:t>
          </w:r>
          <w:r>
            <w:rPr>
              <w:rFonts w:cs="Times New Roman"/>
            </w:rPr>
            <w:fldChar w:fldCharType="end"/>
          </w:r>
          <w:r>
            <w:rPr>
              <w:rFonts w:ascii="宋体" w:eastAsia="宋体" w:cs="Times New Roman"/>
            </w:rPr>
            <w:fldChar w:fldCharType="end"/>
          </w:r>
        </w:p>
        <w:p w14:paraId="325B9FEB">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 HYPERLINK \l _Toc7207 </w:instrText>
          </w:r>
          <w:r>
            <w:rPr>
              <w:rFonts w:ascii="宋体" w:eastAsia="宋体" w:cs="Times New Roman"/>
            </w:rPr>
            <w:fldChar w:fldCharType="separate"/>
          </w:r>
          <w:r>
            <w:rPr>
              <w:rFonts w:hint="default" w:ascii="宋体" w:eastAsia="宋体" w:cs="Times New Roman"/>
              <w:i w:val="0"/>
              <w:szCs w:val="21"/>
              <w:lang w:val="en-US" w:eastAsia="zh-CN" w:bidi="ar-SA"/>
            </w:rPr>
            <w:t xml:space="preserve">7 </w:t>
          </w:r>
          <w:r>
            <w:rPr>
              <w:rFonts w:hint="default" w:cs="Times New Roman"/>
              <w:szCs w:val="21"/>
              <w:lang w:val="en-US" w:eastAsia="zh-CN" w:bidi="ar-SA"/>
            </w:rPr>
            <w:t>检查实施</w:t>
          </w:r>
          <w:r>
            <w:rPr>
              <w:rFonts w:cs="Times New Roman"/>
            </w:rPr>
            <w:tab/>
          </w:r>
          <w:r>
            <w:rPr>
              <w:rFonts w:cs="Times New Roman"/>
            </w:rPr>
            <w:fldChar w:fldCharType="begin"/>
          </w:r>
          <w:r>
            <w:rPr>
              <w:rFonts w:cs="Times New Roman"/>
            </w:rPr>
            <w:instrText xml:space="preserve"> PAGEREF _Toc7207 \h </w:instrText>
          </w:r>
          <w:r>
            <w:rPr>
              <w:rFonts w:cs="Times New Roman"/>
            </w:rPr>
            <w:fldChar w:fldCharType="separate"/>
          </w:r>
          <w:r>
            <w:rPr>
              <w:rFonts w:cs="Times New Roman"/>
            </w:rPr>
            <w:t>2</w:t>
          </w:r>
          <w:r>
            <w:rPr>
              <w:rFonts w:cs="Times New Roman"/>
            </w:rPr>
            <w:fldChar w:fldCharType="end"/>
          </w:r>
          <w:r>
            <w:rPr>
              <w:rFonts w:ascii="宋体" w:eastAsia="宋体" w:cs="Times New Roman"/>
            </w:rPr>
            <w:fldChar w:fldCharType="end"/>
          </w:r>
        </w:p>
        <w:p w14:paraId="35D645D3">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 HYPERLINK \l _Toc6979 </w:instrText>
          </w:r>
          <w:r>
            <w:rPr>
              <w:rFonts w:ascii="宋体" w:eastAsia="宋体" w:cs="Times New Roman"/>
            </w:rPr>
            <w:fldChar w:fldCharType="separate"/>
          </w:r>
          <w:r>
            <w:rPr>
              <w:rFonts w:hint="default" w:ascii="宋体" w:hAnsi="Calibri" w:eastAsia="宋体" w:cs="Times New Roman"/>
              <w:i w:val="0"/>
              <w:lang w:val="en-US" w:eastAsia="zh-CN"/>
            </w:rPr>
            <w:t xml:space="preserve">8 </w:t>
          </w:r>
          <w:r>
            <w:rPr>
              <w:rFonts w:hint="default"/>
              <w:szCs w:val="21"/>
              <w:lang w:val="en-US" w:eastAsia="zh-CN"/>
            </w:rPr>
            <w:t>督察监控</w:t>
          </w:r>
          <w:r>
            <w:tab/>
          </w:r>
          <w:r>
            <w:fldChar w:fldCharType="begin"/>
          </w:r>
          <w:r>
            <w:instrText xml:space="preserve"> PAGEREF _Toc6979 \h </w:instrText>
          </w:r>
          <w:r>
            <w:fldChar w:fldCharType="separate"/>
          </w:r>
          <w:r>
            <w:t>3</w:t>
          </w:r>
          <w:r>
            <w:fldChar w:fldCharType="end"/>
          </w:r>
          <w:r>
            <w:rPr>
              <w:rFonts w:ascii="宋体" w:eastAsia="宋体" w:cs="Times New Roman"/>
            </w:rPr>
            <w:fldChar w:fldCharType="end"/>
          </w:r>
        </w:p>
        <w:p w14:paraId="17D0F0BF">
          <w:pPr>
            <w:pStyle w:val="20"/>
            <w:tabs>
              <w:tab w:val="right" w:leader="dot" w:pos="9344"/>
            </w:tabs>
            <w:spacing w:line="300" w:lineRule="exact"/>
            <w:ind w:left="210" w:leftChars="0"/>
          </w:pPr>
          <w:r>
            <w:rPr>
              <w:rFonts w:ascii="宋体" w:eastAsia="宋体" w:cs="Times New Roman"/>
            </w:rPr>
            <w:fldChar w:fldCharType="begin"/>
          </w:r>
          <w:r>
            <w:rPr>
              <w:rFonts w:ascii="宋体" w:eastAsia="宋体" w:cs="Times New Roman"/>
            </w:rPr>
            <w:instrText xml:space="preserve"> HYPERLINK \l _Toc2557 </w:instrText>
          </w:r>
          <w:r>
            <w:rPr>
              <w:rFonts w:ascii="宋体" w:eastAsia="宋体" w:cs="Times New Roman"/>
            </w:rPr>
            <w:fldChar w:fldCharType="separate"/>
          </w:r>
          <w:r>
            <w:rPr>
              <w:rFonts w:hint="default" w:ascii="宋体" w:hAnsi="Calibri" w:eastAsia="宋体" w:cs="Times New Roman"/>
              <w:bCs w:val="0"/>
              <w:i w:val="0"/>
              <w:iCs w:val="0"/>
              <w:caps w:val="0"/>
              <w:smallCaps w:val="0"/>
              <w:strike w:val="0"/>
              <w:dstrike w:val="0"/>
              <w:vanish w:val="0"/>
              <w:spacing w:val="0"/>
              <w:kern w:val="2"/>
              <w:position w:val="0"/>
              <w:szCs w:val="21"/>
              <w:vertAlign w:val="baseline"/>
              <w:lang w:val="en-US" w:eastAsia="zh-CN" w:bidi="ar-SA"/>
            </w:rPr>
            <w:t xml:space="preserve">8.1 </w:t>
          </w:r>
          <w:r>
            <w:rPr>
              <w:rFonts w:hint="default" w:ascii="宋体" w:hAnsi="Calibri" w:eastAsia="宋体" w:cs="Times New Roman"/>
              <w:szCs w:val="21"/>
              <w:lang w:val="en-US" w:eastAsia="zh-CN" w:bidi="ar-SA"/>
            </w:rPr>
            <w:t>督察回访</w:t>
          </w:r>
          <w:r>
            <w:tab/>
          </w:r>
          <w:r>
            <w:fldChar w:fldCharType="begin"/>
          </w:r>
          <w:r>
            <w:instrText xml:space="preserve"> PAGEREF _Toc2557 \h </w:instrText>
          </w:r>
          <w:r>
            <w:fldChar w:fldCharType="separate"/>
          </w:r>
          <w:r>
            <w:t>3</w:t>
          </w:r>
          <w:r>
            <w:fldChar w:fldCharType="end"/>
          </w:r>
          <w:r>
            <w:rPr>
              <w:rFonts w:ascii="宋体" w:eastAsia="宋体" w:cs="Times New Roman"/>
            </w:rPr>
            <w:fldChar w:fldCharType="end"/>
          </w:r>
        </w:p>
        <w:p w14:paraId="0BD43D47">
          <w:pPr>
            <w:pStyle w:val="20"/>
            <w:tabs>
              <w:tab w:val="right" w:leader="dot" w:pos="9344"/>
            </w:tabs>
            <w:spacing w:line="300" w:lineRule="exact"/>
            <w:ind w:left="210" w:leftChars="0"/>
          </w:pPr>
          <w:r>
            <w:rPr>
              <w:rFonts w:ascii="宋体" w:eastAsia="宋体" w:cs="Times New Roman"/>
            </w:rPr>
            <w:fldChar w:fldCharType="begin"/>
          </w:r>
          <w:r>
            <w:rPr>
              <w:rFonts w:ascii="宋体" w:eastAsia="宋体" w:cs="Times New Roman"/>
            </w:rPr>
            <w:instrText xml:space="preserve"> HYPERLINK \l _Toc13392 </w:instrText>
          </w:r>
          <w:r>
            <w:rPr>
              <w:rFonts w:ascii="宋体" w:eastAsia="宋体" w:cs="Times New Roman"/>
            </w:rPr>
            <w:fldChar w:fldCharType="separate"/>
          </w:r>
          <w:r>
            <w:rPr>
              <w:rFonts w:hint="default"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8.2 </w:t>
          </w:r>
          <w:r>
            <w:rPr>
              <w:rFonts w:hint="default"/>
              <w:lang w:val="en-US" w:eastAsia="zh-CN"/>
            </w:rPr>
            <w:t>投诉举报处理</w:t>
          </w:r>
          <w:r>
            <w:tab/>
          </w:r>
          <w:r>
            <w:fldChar w:fldCharType="begin"/>
          </w:r>
          <w:r>
            <w:instrText xml:space="preserve"> PAGEREF _Toc13392 \h </w:instrText>
          </w:r>
          <w:r>
            <w:fldChar w:fldCharType="separate"/>
          </w:r>
          <w:r>
            <w:t>4</w:t>
          </w:r>
          <w:r>
            <w:fldChar w:fldCharType="end"/>
          </w:r>
          <w:r>
            <w:rPr>
              <w:rFonts w:ascii="宋体" w:eastAsia="宋体" w:cs="Times New Roman"/>
            </w:rPr>
            <w:fldChar w:fldCharType="end"/>
          </w:r>
        </w:p>
        <w:p w14:paraId="42AA71CE">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 HYPERLINK \l _Toc25023 </w:instrText>
          </w:r>
          <w:r>
            <w:rPr>
              <w:rFonts w:ascii="宋体" w:eastAsia="宋体" w:cs="Times New Roman"/>
            </w:rPr>
            <w:fldChar w:fldCharType="separate"/>
          </w:r>
          <w:r>
            <w:rPr>
              <w:rFonts w:hint="default" w:ascii="宋体" w:eastAsia="宋体" w:cs="Times New Roman"/>
              <w:i w:val="0"/>
              <w:szCs w:val="21"/>
              <w:lang w:val="en-US" w:eastAsia="zh-CN"/>
            </w:rPr>
            <w:t xml:space="preserve">9 </w:t>
          </w:r>
          <w:r>
            <w:rPr>
              <w:rFonts w:hint="default"/>
              <w:szCs w:val="21"/>
              <w:lang w:val="en-US" w:eastAsia="zh-CN"/>
            </w:rPr>
            <w:t>数据管理</w:t>
          </w:r>
          <w:r>
            <w:tab/>
          </w:r>
          <w:r>
            <w:fldChar w:fldCharType="begin"/>
          </w:r>
          <w:r>
            <w:instrText xml:space="preserve"> PAGEREF _Toc25023 \h </w:instrText>
          </w:r>
          <w:r>
            <w:fldChar w:fldCharType="separate"/>
          </w:r>
          <w:r>
            <w:t>4</w:t>
          </w:r>
          <w:r>
            <w:fldChar w:fldCharType="end"/>
          </w:r>
          <w:r>
            <w:rPr>
              <w:rFonts w:ascii="宋体" w:eastAsia="宋体" w:cs="Times New Roman"/>
            </w:rPr>
            <w:fldChar w:fldCharType="end"/>
          </w:r>
        </w:p>
        <w:p w14:paraId="5817BEA3">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 HYPERLINK \l _Toc25711 </w:instrText>
          </w:r>
          <w:r>
            <w:rPr>
              <w:rFonts w:ascii="宋体" w:eastAsia="宋体" w:cs="Times New Roman"/>
            </w:rPr>
            <w:fldChar w:fldCharType="separate"/>
          </w:r>
          <w:r>
            <w:rPr>
              <w:rFonts w:hint="default" w:ascii="宋体" w:eastAsia="宋体" w:cs="Times New Roman"/>
              <w:i w:val="0"/>
            </w:rPr>
            <w:t xml:space="preserve">10 </w:t>
          </w:r>
          <w:r>
            <w:rPr>
              <w:rFonts w:hint="default" w:hAnsi="Calibri" w:cs="Times New Roman"/>
              <w:lang w:val="en-US" w:eastAsia="zh-CN"/>
            </w:rPr>
            <w:t>信息公开</w:t>
          </w:r>
          <w:r>
            <w:tab/>
          </w:r>
          <w:r>
            <w:fldChar w:fldCharType="begin"/>
          </w:r>
          <w:r>
            <w:instrText xml:space="preserve"> PAGEREF _Toc25711 \h </w:instrText>
          </w:r>
          <w:r>
            <w:fldChar w:fldCharType="separate"/>
          </w:r>
          <w:r>
            <w:t>4</w:t>
          </w:r>
          <w:r>
            <w:fldChar w:fldCharType="end"/>
          </w:r>
          <w:r>
            <w:rPr>
              <w:rFonts w:ascii="宋体" w:eastAsia="宋体" w:cs="Times New Roman"/>
            </w:rPr>
            <w:fldChar w:fldCharType="end"/>
          </w:r>
        </w:p>
        <w:p w14:paraId="45E177EB">
          <w:pPr>
            <w:pStyle w:val="20"/>
            <w:tabs>
              <w:tab w:val="right" w:leader="dot" w:pos="9344"/>
            </w:tabs>
            <w:spacing w:line="300" w:lineRule="exact"/>
          </w:pPr>
          <w:r>
            <w:rPr>
              <w:rFonts w:ascii="宋体" w:eastAsia="宋体" w:cs="Times New Roman"/>
            </w:rPr>
            <w:fldChar w:fldCharType="begin"/>
          </w:r>
          <w:r>
            <w:rPr>
              <w:rFonts w:ascii="宋体" w:eastAsia="宋体" w:cs="Times New Roman"/>
            </w:rPr>
            <w:instrText xml:space="preserve"> HYPERLINK \l _Toc19159 </w:instrText>
          </w:r>
          <w:r>
            <w:rPr>
              <w:rFonts w:ascii="宋体" w:eastAsia="宋体" w:cs="Times New Roman"/>
            </w:rPr>
            <w:fldChar w:fldCharType="separate"/>
          </w:r>
          <w:r>
            <w:rPr>
              <w:rFonts w:hint="default" w:ascii="宋体" w:hAnsi="Calibri" w:eastAsia="宋体" w:cs="Times New Roman"/>
              <w:spacing w:val="0"/>
              <w:kern w:val="2"/>
              <w:szCs w:val="21"/>
              <w:lang w:val="en-US" w:eastAsia="zh-CN" w:bidi="ar-SA"/>
            </w:rPr>
            <w:t>参考文</w:t>
          </w:r>
          <w:r>
            <w:rPr>
              <w:rFonts w:hint="default" w:ascii="宋体" w:hAnsi="Calibri" w:eastAsia="宋体" w:cs="Times New Roman"/>
              <w:kern w:val="2"/>
              <w:szCs w:val="21"/>
              <w:lang w:val="en-US" w:eastAsia="zh-CN" w:bidi="ar-SA"/>
            </w:rPr>
            <w:t>献</w:t>
          </w:r>
          <w:r>
            <w:tab/>
          </w:r>
          <w:r>
            <w:fldChar w:fldCharType="begin"/>
          </w:r>
          <w:r>
            <w:instrText xml:space="preserve"> PAGEREF _Toc19159 \h </w:instrText>
          </w:r>
          <w:r>
            <w:fldChar w:fldCharType="separate"/>
          </w:r>
          <w:r>
            <w:t>5</w:t>
          </w:r>
          <w:r>
            <w:fldChar w:fldCharType="end"/>
          </w:r>
          <w:r>
            <w:rPr>
              <w:rFonts w:ascii="宋体" w:eastAsia="宋体" w:cs="Times New Roman"/>
            </w:rPr>
            <w:fldChar w:fldCharType="end"/>
          </w:r>
        </w:p>
        <w:p w14:paraId="056F40C0">
          <w:pPr>
            <w:pStyle w:val="25"/>
            <w:bidi w:val="0"/>
          </w:pPr>
          <w:r>
            <w:rPr>
              <w:rFonts w:ascii="宋体" w:eastAsia="宋体" w:cs="Times New Roman"/>
            </w:rPr>
            <w:fldChar w:fldCharType="end"/>
          </w:r>
        </w:p>
      </w:sdtContent>
    </w:sdt>
    <w:p w14:paraId="274B3DB7">
      <w:pPr>
        <w:pStyle w:val="106"/>
        <w:spacing w:before="0" w:after="468"/>
        <w:ind w:left="0" w:firstLine="0"/>
        <w:rPr>
          <w:rFonts w:hint="eastAsia"/>
        </w:rPr>
      </w:pPr>
      <w:bookmarkStart w:id="20" w:name="_Toc11430"/>
      <w:bookmarkStart w:id="21" w:name="_Toc30590"/>
      <w:r>
        <w:rPr>
          <w:spacing w:val="320"/>
        </w:rPr>
        <w:br w:type="column"/>
      </w:r>
      <w:r>
        <w:rPr>
          <w:rFonts w:hint="default"/>
          <w:spacing w:val="320"/>
        </w:rPr>
        <w:t>前</w:t>
      </w:r>
      <w:r>
        <w:rPr>
          <w:rFonts w:hint="default" w:hAnsi="Times New Roman" w:cs="Times New Roman"/>
          <w:spacing w:val="320"/>
        </w:rPr>
        <w:t>言</w:t>
      </w:r>
      <w:bookmarkEnd w:id="20"/>
      <w:bookmarkEnd w:id="21"/>
    </w:p>
    <w:p w14:paraId="19EEAE2D">
      <w:pPr>
        <w:pStyle w:val="38"/>
        <w:ind w:firstLine="420"/>
      </w:pPr>
      <w:r>
        <w:rPr>
          <w:rFonts w:hint="eastAsia"/>
        </w:rPr>
        <w:t>本文件按照GB/T 1.1—2020《标准化工作导则  第1部分：标准化文件的结构和起草规则》的规定起草。</w:t>
      </w:r>
    </w:p>
    <w:p w14:paraId="08580756">
      <w:pPr>
        <w:pStyle w:val="38"/>
        <w:ind w:firstLine="420"/>
      </w:pPr>
      <w:r>
        <w:rPr>
          <w:rFonts w:hint="eastAsia"/>
        </w:rPr>
        <w:t>请注意本文件的某些内容可能涉及专利。本文件的发布机构不承担识别专利的责任。</w:t>
      </w:r>
    </w:p>
    <w:p w14:paraId="43B8446B">
      <w:pPr>
        <w:pStyle w:val="38"/>
        <w:ind w:firstLine="420"/>
      </w:pPr>
      <w:r>
        <w:rPr>
          <w:rFonts w:hint="eastAsia"/>
        </w:rPr>
        <w:t>本文件由山东省药品监督管理局提出、归口，并组织实施。</w:t>
      </w:r>
    </w:p>
    <w:p w14:paraId="45F6827D">
      <w:pPr>
        <w:pStyle w:val="38"/>
        <w:ind w:firstLine="420"/>
      </w:pPr>
    </w:p>
    <w:p w14:paraId="3E232D68">
      <w:pPr>
        <w:pStyle w:val="38"/>
        <w:ind w:firstLine="420"/>
      </w:pPr>
    </w:p>
    <w:p w14:paraId="1FB7EE8A">
      <w:pPr>
        <w:pStyle w:val="38"/>
        <w:ind w:firstLine="420"/>
      </w:pPr>
    </w:p>
    <w:p w14:paraId="471D1B06">
      <w:pPr>
        <w:pStyle w:val="38"/>
        <w:ind w:firstLine="420"/>
      </w:pPr>
    </w:p>
    <w:p w14:paraId="733C5A41">
      <w:pPr>
        <w:pStyle w:val="38"/>
        <w:ind w:firstLine="420"/>
      </w:pPr>
    </w:p>
    <w:p w14:paraId="0BBB1D75">
      <w:pPr>
        <w:pStyle w:val="38"/>
        <w:ind w:firstLine="420"/>
      </w:pPr>
    </w:p>
    <w:p w14:paraId="7265E986">
      <w:pPr>
        <w:pStyle w:val="38"/>
        <w:ind w:firstLine="420"/>
      </w:pPr>
    </w:p>
    <w:p w14:paraId="16B64FAE">
      <w:pPr>
        <w:pStyle w:val="38"/>
        <w:ind w:firstLine="420"/>
      </w:pPr>
    </w:p>
    <w:p w14:paraId="23E0FFD1">
      <w:pPr>
        <w:pStyle w:val="38"/>
        <w:ind w:firstLine="420"/>
      </w:pPr>
    </w:p>
    <w:p w14:paraId="1A64D77B">
      <w:pPr>
        <w:pStyle w:val="38"/>
        <w:ind w:firstLine="420"/>
      </w:pPr>
    </w:p>
    <w:p w14:paraId="625E815D">
      <w:pPr>
        <w:pStyle w:val="38"/>
        <w:ind w:firstLine="420"/>
      </w:pPr>
    </w:p>
    <w:p w14:paraId="59E9177E">
      <w:pPr>
        <w:pStyle w:val="38"/>
        <w:ind w:firstLine="420"/>
      </w:pPr>
    </w:p>
    <w:p w14:paraId="0628ADE2">
      <w:pPr>
        <w:pStyle w:val="38"/>
        <w:ind w:firstLine="420"/>
      </w:pPr>
    </w:p>
    <w:p w14:paraId="0D6A5C45">
      <w:pPr>
        <w:pStyle w:val="38"/>
        <w:ind w:firstLine="420"/>
      </w:pPr>
    </w:p>
    <w:p w14:paraId="56C918FA">
      <w:pPr>
        <w:pStyle w:val="38"/>
        <w:ind w:firstLine="420"/>
      </w:pPr>
    </w:p>
    <w:p w14:paraId="7BDE7894">
      <w:pPr>
        <w:pStyle w:val="38"/>
        <w:ind w:firstLine="420"/>
      </w:pPr>
    </w:p>
    <w:p w14:paraId="3D31B797">
      <w:pPr>
        <w:pStyle w:val="38"/>
        <w:ind w:firstLine="420"/>
      </w:pPr>
    </w:p>
    <w:p w14:paraId="1EAC2D91">
      <w:pPr>
        <w:pStyle w:val="38"/>
        <w:ind w:firstLine="420"/>
      </w:pPr>
    </w:p>
    <w:p w14:paraId="5300B91D">
      <w:pPr>
        <w:pStyle w:val="38"/>
        <w:ind w:firstLine="420"/>
      </w:pPr>
    </w:p>
    <w:p w14:paraId="2E5DAFD0">
      <w:pPr>
        <w:pStyle w:val="38"/>
        <w:ind w:firstLine="420"/>
      </w:pPr>
    </w:p>
    <w:p w14:paraId="68A95B72">
      <w:pPr>
        <w:pStyle w:val="38"/>
        <w:ind w:firstLine="420"/>
      </w:pPr>
    </w:p>
    <w:p w14:paraId="125B5245">
      <w:pPr>
        <w:pStyle w:val="38"/>
        <w:ind w:firstLine="420"/>
      </w:pPr>
    </w:p>
    <w:p w14:paraId="284678F6">
      <w:pPr>
        <w:pStyle w:val="38"/>
        <w:ind w:firstLine="420"/>
      </w:pPr>
    </w:p>
    <w:p w14:paraId="43246A81">
      <w:pPr>
        <w:pStyle w:val="38"/>
        <w:ind w:firstLine="420"/>
      </w:pPr>
    </w:p>
    <w:p w14:paraId="4F677E5B">
      <w:pPr>
        <w:pStyle w:val="38"/>
        <w:ind w:firstLine="420"/>
      </w:pPr>
    </w:p>
    <w:p w14:paraId="5F4A2AA5">
      <w:pPr>
        <w:pStyle w:val="38"/>
        <w:ind w:firstLine="420"/>
      </w:pPr>
    </w:p>
    <w:p w14:paraId="79626AFF">
      <w:pPr>
        <w:pStyle w:val="38"/>
        <w:ind w:firstLine="420"/>
      </w:pPr>
    </w:p>
    <w:p w14:paraId="11999C27">
      <w:pPr>
        <w:pStyle w:val="38"/>
        <w:ind w:firstLine="420"/>
      </w:pPr>
    </w:p>
    <w:p w14:paraId="32DA853B">
      <w:pPr>
        <w:pStyle w:val="38"/>
        <w:ind w:firstLine="420"/>
      </w:pPr>
    </w:p>
    <w:p w14:paraId="37542CFD">
      <w:pPr>
        <w:pStyle w:val="38"/>
        <w:ind w:firstLine="420"/>
      </w:pPr>
    </w:p>
    <w:p w14:paraId="24B2BD9D">
      <w:pPr>
        <w:pStyle w:val="38"/>
        <w:ind w:firstLine="420"/>
      </w:pPr>
    </w:p>
    <w:p w14:paraId="48C9BD40">
      <w:pPr>
        <w:pStyle w:val="38"/>
        <w:ind w:firstLine="420"/>
      </w:pPr>
    </w:p>
    <w:p w14:paraId="046B7006">
      <w:pPr>
        <w:pStyle w:val="38"/>
        <w:ind w:firstLine="420"/>
      </w:pPr>
    </w:p>
    <w:p w14:paraId="7BFA4BE3">
      <w:pPr>
        <w:pStyle w:val="38"/>
        <w:ind w:firstLine="420"/>
      </w:pPr>
    </w:p>
    <w:p w14:paraId="0D50BFEC">
      <w:pPr>
        <w:numPr>
          <w:ilvl w:val="0"/>
          <w:numId w:val="0"/>
        </w:numPr>
        <w:shd w:val="clear" w:color="FFFFFF" w:fill="FFFFFF"/>
        <w:spacing w:before="0" w:after="468" w:afterLines="150" w:line="240" w:lineRule="auto"/>
        <w:ind w:leftChars="0"/>
        <w:jc w:val="center"/>
        <w:outlineLvl w:val="0"/>
        <w:rPr>
          <w:rFonts w:ascii="黑体" w:hAnsi="Times New Roman" w:eastAsia="黑体" w:cs="Times New Roman"/>
          <w:color w:val="000000"/>
          <w:spacing w:val="320"/>
          <w:sz w:val="32"/>
          <w:lang w:val="en-US" w:eastAsia="zh-CN" w:bidi="ar-SA"/>
        </w:rPr>
      </w:pPr>
      <w:bookmarkStart w:id="22" w:name="_Toc11288"/>
      <w:bookmarkStart w:id="23" w:name="_Toc107219517"/>
      <w:bookmarkStart w:id="24" w:name="_Toc107219535"/>
      <w:bookmarkStart w:id="25" w:name="_Toc12104"/>
    </w:p>
    <w:p w14:paraId="4FB5C423">
      <w:pPr>
        <w:numPr>
          <w:ilvl w:val="0"/>
          <w:numId w:val="0"/>
        </w:numPr>
        <w:shd w:val="clear" w:color="FFFFFF" w:fill="FFFFFF"/>
        <w:spacing w:before="0" w:after="468" w:afterLines="150" w:line="240" w:lineRule="auto"/>
        <w:ind w:leftChars="0"/>
        <w:jc w:val="center"/>
        <w:outlineLvl w:val="0"/>
        <w:rPr>
          <w:rFonts w:ascii="黑体" w:hAnsi="Times New Roman" w:eastAsia="黑体" w:cs="Times New Roman"/>
          <w:color w:val="000000"/>
          <w:sz w:val="32"/>
          <w:lang w:val="en-US" w:eastAsia="zh-CN" w:bidi="ar-SA"/>
        </w:rPr>
      </w:pPr>
      <w:r>
        <w:rPr>
          <w:rFonts w:ascii="黑体" w:hAnsi="Times New Roman" w:eastAsia="黑体" w:cs="Times New Roman"/>
          <w:color w:val="000000"/>
          <w:spacing w:val="320"/>
          <w:sz w:val="32"/>
          <w:lang w:val="en-US" w:eastAsia="zh-CN" w:bidi="ar-SA"/>
        </w:rPr>
        <w:t>引</w:t>
      </w:r>
      <w:r>
        <w:rPr>
          <w:rFonts w:ascii="黑体" w:hAnsi="Times New Roman" w:eastAsia="黑体" w:cs="Times New Roman"/>
          <w:color w:val="000000"/>
          <w:sz w:val="32"/>
          <w:lang w:val="en-US" w:eastAsia="zh-CN" w:bidi="ar-SA"/>
        </w:rPr>
        <w:t>言</w:t>
      </w:r>
      <w:bookmarkEnd w:id="22"/>
      <w:bookmarkEnd w:id="23"/>
      <w:bookmarkEnd w:id="24"/>
      <w:bookmarkEnd w:id="25"/>
    </w:p>
    <w:p w14:paraId="2C53C22A">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日常监督检查是由药品监督管理部门按照规定的频次和要求开展的常规监督检查，是新形势下探索提升药品安全治理能力现代化的新路径，发挥省级药品监督管理局派出检查机构新监管体制的重要实践。《药械化企业日常检查管理规范》拟由五个部分组成。</w:t>
      </w:r>
    </w:p>
    <w:p w14:paraId="5CCAC588">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——第1部分：总则。目的在于为药械化企业日常检查工作提供总体</w:t>
      </w:r>
      <w:r>
        <w:rPr>
          <w:rFonts w:hint="eastAsia" w:ascii="宋体" w:hAnsi="Times New Roman" w:cs="Times New Roman"/>
          <w:sz w:val="21"/>
          <w:lang w:val="en-US" w:eastAsia="zh-CN" w:bidi="ar-SA"/>
        </w:rPr>
        <w:t>要求</w:t>
      </w:r>
      <w:r>
        <w:rPr>
          <w:rFonts w:hint="eastAsia" w:ascii="宋体" w:hAnsi="Times New Roman" w:eastAsia="宋体" w:cs="Times New Roman"/>
          <w:sz w:val="21"/>
          <w:lang w:val="en-US" w:eastAsia="zh-CN" w:bidi="ar-SA"/>
        </w:rPr>
        <w:t>。</w:t>
      </w:r>
    </w:p>
    <w:p w14:paraId="14D114F1">
      <w:pPr>
        <w:autoSpaceDE w:val="0"/>
        <w:autoSpaceDN w:val="0"/>
        <w:ind w:firstLine="420" w:firstLineChars="200"/>
        <w:jc w:val="both"/>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——第2部分：术语与定义。目的</w:t>
      </w:r>
      <w:r>
        <w:rPr>
          <w:rFonts w:hint="eastAsia" w:ascii="宋体" w:hAnsi="Times New Roman" w:cs="Times New Roman"/>
          <w:sz w:val="21"/>
          <w:lang w:val="en-US" w:eastAsia="zh-CN" w:bidi="ar-SA"/>
        </w:rPr>
        <w:t>在于在社会面建立对日常检查的共识。</w:t>
      </w:r>
    </w:p>
    <w:p w14:paraId="00FC67FC">
      <w:pPr>
        <w:autoSpaceDE w:val="0"/>
        <w:autoSpaceDN w:val="0"/>
        <w:ind w:firstLine="420" w:firstLineChars="200"/>
        <w:jc w:val="both"/>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——第3部分：日常检查。目的在于</w:t>
      </w:r>
      <w:r>
        <w:rPr>
          <w:rFonts w:hint="eastAsia" w:ascii="宋体" w:hAnsi="Times New Roman" w:cs="Times New Roman"/>
          <w:sz w:val="21"/>
          <w:lang w:val="en-US" w:eastAsia="zh-CN" w:bidi="ar-SA"/>
        </w:rPr>
        <w:t>为日常检验工作开展提供规范。</w:t>
      </w:r>
    </w:p>
    <w:p w14:paraId="1D2A2E4F">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eastAsia="宋体" w:cs="Times New Roman"/>
          <w:sz w:val="21"/>
          <w:lang w:val="en-US" w:eastAsia="zh-CN" w:bidi="ar-SA"/>
        </w:rPr>
        <w:t>——第</w:t>
      </w:r>
      <w:r>
        <w:rPr>
          <w:rFonts w:hint="eastAsia" w:ascii="宋体" w:hAnsi="Times New Roman" w:cs="Times New Roman"/>
          <w:sz w:val="21"/>
          <w:lang w:val="en-US" w:eastAsia="zh-CN" w:bidi="ar-SA"/>
        </w:rPr>
        <w:t>4</w:t>
      </w:r>
      <w:r>
        <w:rPr>
          <w:rFonts w:hint="eastAsia" w:ascii="宋体" w:hAnsi="Times New Roman" w:eastAsia="宋体" w:cs="Times New Roman"/>
          <w:sz w:val="21"/>
          <w:lang w:val="en-US" w:eastAsia="zh-CN" w:bidi="ar-SA"/>
        </w:rPr>
        <w:t>部分：</w:t>
      </w:r>
      <w:r>
        <w:rPr>
          <w:rFonts w:hint="eastAsia" w:ascii="宋体" w:hAnsi="Times New Roman" w:cs="Times New Roman"/>
          <w:sz w:val="21"/>
          <w:lang w:val="en-US" w:eastAsia="zh-CN" w:bidi="ar-SA"/>
        </w:rPr>
        <w:t>抽样</w:t>
      </w:r>
      <w:r>
        <w:rPr>
          <w:rFonts w:hint="eastAsia" w:ascii="宋体" w:hAnsi="Times New Roman" w:eastAsia="宋体" w:cs="Times New Roman"/>
          <w:sz w:val="21"/>
          <w:lang w:val="en-US" w:eastAsia="zh-CN" w:bidi="ar-SA"/>
        </w:rPr>
        <w:t>。目的在于</w:t>
      </w:r>
      <w:r>
        <w:rPr>
          <w:rFonts w:hint="eastAsia" w:ascii="宋体" w:hAnsi="Times New Roman" w:cs="Times New Roman"/>
          <w:sz w:val="21"/>
          <w:lang w:val="en-US" w:eastAsia="zh-CN" w:bidi="ar-SA"/>
        </w:rPr>
        <w:t>为日常检查抽样提供规范。</w:t>
      </w:r>
    </w:p>
    <w:p w14:paraId="4E1CD363">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eastAsia="宋体" w:cs="Times New Roman"/>
          <w:sz w:val="21"/>
          <w:lang w:val="en-US" w:eastAsia="zh-CN" w:bidi="ar-SA"/>
        </w:rPr>
        <w:t>——第</w:t>
      </w:r>
      <w:r>
        <w:rPr>
          <w:rFonts w:hint="eastAsia" w:ascii="宋体" w:hAnsi="Times New Roman" w:cs="Times New Roman"/>
          <w:sz w:val="21"/>
          <w:lang w:val="en-US" w:eastAsia="zh-CN" w:bidi="ar-SA"/>
        </w:rPr>
        <w:t>5</w:t>
      </w:r>
      <w:r>
        <w:rPr>
          <w:rFonts w:hint="eastAsia" w:ascii="宋体" w:hAnsi="Times New Roman" w:eastAsia="宋体" w:cs="Times New Roman"/>
          <w:sz w:val="21"/>
          <w:lang w:val="en-US" w:eastAsia="zh-CN" w:bidi="ar-SA"/>
        </w:rPr>
        <w:t>部分：</w:t>
      </w:r>
      <w:r>
        <w:rPr>
          <w:rFonts w:hint="eastAsia" w:ascii="宋体" w:hAnsi="Times New Roman" w:cs="Times New Roman"/>
          <w:sz w:val="21"/>
          <w:lang w:val="en-US" w:eastAsia="zh-CN" w:bidi="ar-SA"/>
        </w:rPr>
        <w:t>数据管理</w:t>
      </w:r>
      <w:r>
        <w:rPr>
          <w:rFonts w:hint="eastAsia" w:ascii="宋体" w:hAnsi="Times New Roman" w:eastAsia="宋体" w:cs="Times New Roman"/>
          <w:sz w:val="21"/>
          <w:lang w:val="en-US" w:eastAsia="zh-CN" w:bidi="ar-SA"/>
        </w:rPr>
        <w:t>。</w:t>
      </w:r>
      <w:r>
        <w:rPr>
          <w:rFonts w:hint="eastAsia" w:ascii="宋体" w:hAnsi="Times New Roman" w:cs="Times New Roman"/>
          <w:sz w:val="21"/>
          <w:lang w:val="en-US" w:eastAsia="zh-CN" w:bidi="ar-SA"/>
        </w:rPr>
        <w:t>目的在于为日常检查的数据管理提供规范。</w:t>
      </w:r>
    </w:p>
    <w:p w14:paraId="5470DA75">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cs="Times New Roman"/>
          <w:sz w:val="21"/>
          <w:lang w:val="en-US" w:eastAsia="zh-CN" w:bidi="ar-SA"/>
        </w:rPr>
        <w:t>本文件提出了药械化企业日常检查相关的总原则，明确了与日常检查相关的重要相关方及行为要求，有利于建立公开透明、程序合规的日常检查工作机制。</w:t>
      </w:r>
    </w:p>
    <w:p w14:paraId="3F5F6A87">
      <w:pPr>
        <w:numPr>
          <w:ilvl w:val="0"/>
          <w:numId w:val="11"/>
        </w:numPr>
        <w:shd w:val="clear" w:color="FFFFFF" w:fill="FFFFFF"/>
        <w:spacing w:before="480" w:after="468" w:afterLines="150"/>
        <w:ind w:left="0" w:firstLine="0"/>
        <w:jc w:val="center"/>
        <w:outlineLvl w:val="9"/>
        <w:rPr>
          <w:rFonts w:ascii="黑体" w:hAnsi="Times New Roman" w:eastAsia="黑体" w:cs="Times New Roman"/>
          <w:color w:val="000000"/>
          <w:sz w:val="32"/>
          <w:lang w:val="en-US" w:eastAsia="zh-CN" w:bidi="ar-SA"/>
        </w:rPr>
      </w:pPr>
    </w:p>
    <w:p w14:paraId="67C4D085">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仿宋_GB2312" w:hAnsi="仿宋_GB2312" w:eastAsia="仿宋_GB2312" w:cs="仿宋_GB2312"/>
          <w:sz w:val="32"/>
          <w:szCs w:val="32"/>
          <w:lang w:val="en-US" w:eastAsia="zh-CN"/>
        </w:rPr>
      </w:pPr>
    </w:p>
    <w:p w14:paraId="4D433853">
      <w:pPr>
        <w:pStyle w:val="38"/>
        <w:ind w:firstLine="420"/>
      </w:pPr>
    </w:p>
    <w:p w14:paraId="2EB46B0A">
      <w:pPr>
        <w:pStyle w:val="38"/>
        <w:ind w:firstLine="420"/>
      </w:pPr>
    </w:p>
    <w:p w14:paraId="5A4BF133">
      <w:pPr>
        <w:pStyle w:val="38"/>
        <w:ind w:left="0" w:leftChars="0" w:firstLine="0" w:firstLineChars="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p w14:paraId="79C3E793">
      <w:pPr>
        <w:spacing w:line="20" w:lineRule="exact"/>
        <w:jc w:val="center"/>
        <w:rPr>
          <w:rFonts w:ascii="黑体" w:hAnsi="黑体" w:eastAsia="黑体"/>
          <w:sz w:val="32"/>
          <w:szCs w:val="32"/>
        </w:rPr>
      </w:pPr>
      <w:bookmarkStart w:id="26" w:name="BookMark4"/>
    </w:p>
    <w:p w14:paraId="24189959">
      <w:pPr>
        <w:spacing w:line="20" w:lineRule="exact"/>
        <w:jc w:val="center"/>
        <w:rPr>
          <w:rFonts w:ascii="黑体" w:hAnsi="黑体" w:eastAsia="黑体"/>
          <w:sz w:val="32"/>
          <w:szCs w:val="32"/>
        </w:rPr>
      </w:pPr>
    </w:p>
    <w:sdt>
      <w:sdtPr>
        <w:tag w:val="NEW_STAND_NAME"/>
        <w:id w:val="595910757"/>
        <w:lock w:val="sdtLocked"/>
        <w:placeholder>
          <w:docPart w:val="81A6BF7337844C4AB24B64923ED78362"/>
        </w:placeholder>
      </w:sdtPr>
      <w:sdtContent>
        <w:p w14:paraId="7685A597">
          <w:pPr>
            <w:pStyle w:val="187"/>
            <w:keepNext w:val="0"/>
            <w:keepLines w:val="0"/>
            <w:pageBreakBefore w:val="0"/>
            <w:widowControl/>
            <w:kinsoku/>
            <w:wordWrap/>
            <w:overflowPunct/>
            <w:topLinePunct w:val="0"/>
            <w:autoSpaceDE/>
            <w:autoSpaceDN/>
            <w:bidi w:val="0"/>
            <w:adjustRightInd w:val="0"/>
            <w:snapToGrid w:val="0"/>
            <w:spacing w:before="0" w:after="0" w:line="240" w:lineRule="auto"/>
            <w:textAlignment w:val="auto"/>
            <w:rPr>
              <w:rFonts w:hint="eastAsia"/>
              <w:lang w:val="en-US" w:eastAsia="zh-CN"/>
            </w:rPr>
          </w:pPr>
          <w:bookmarkStart w:id="27" w:name="NEW_STAND_NAME"/>
          <w:r>
            <w:rPr>
              <w:rFonts w:hint="eastAsia"/>
            </w:rPr>
            <w:t>药</w:t>
          </w:r>
          <w:r>
            <w:rPr>
              <w:rFonts w:hint="eastAsia"/>
              <w:lang w:val="en-US" w:eastAsia="zh-CN"/>
            </w:rPr>
            <w:t>械化</w:t>
          </w:r>
          <w:r>
            <w:rPr>
              <w:rFonts w:hint="eastAsia"/>
            </w:rPr>
            <w:t>企业日常检查</w:t>
          </w:r>
          <w:r>
            <w:rPr>
              <w:rFonts w:hint="eastAsia"/>
              <w:lang w:val="en-US" w:eastAsia="zh-CN"/>
            </w:rPr>
            <w:t>管理</w:t>
          </w:r>
          <w:r>
            <w:rPr>
              <w:rFonts w:hint="eastAsia"/>
            </w:rPr>
            <w:t>规范</w:t>
          </w:r>
          <w:r>
            <w:rPr>
              <w:rFonts w:hint="eastAsia"/>
              <w:lang w:val="en-US" w:eastAsia="zh-CN"/>
            </w:rPr>
            <w:t xml:space="preserve"> </w:t>
          </w:r>
        </w:p>
        <w:p w14:paraId="322E9479">
          <w:pPr>
            <w:pStyle w:val="187"/>
            <w:keepNext w:val="0"/>
            <w:keepLines w:val="0"/>
            <w:pageBreakBefore w:val="0"/>
            <w:widowControl/>
            <w:kinsoku/>
            <w:wordWrap/>
            <w:overflowPunct/>
            <w:topLinePunct w:val="0"/>
            <w:autoSpaceDE/>
            <w:autoSpaceDN/>
            <w:bidi w:val="0"/>
            <w:adjustRightInd w:val="0"/>
            <w:snapToGrid w:val="0"/>
            <w:spacing w:before="0" w:after="0" w:line="240" w:lineRule="auto"/>
            <w:textAlignment w:val="auto"/>
            <w:outlineLvl w:val="9"/>
          </w:pPr>
          <w:bookmarkStart w:id="28" w:name="_Toc13962"/>
          <w:bookmarkStart w:id="29" w:name="_Toc989462847"/>
          <w:r>
            <w:rPr>
              <w:rFonts w:hint="eastAsia"/>
              <w:lang w:val="en-US" w:eastAsia="zh-CN"/>
            </w:rPr>
            <w:t>第1部分 总则</w:t>
          </w:r>
          <w:bookmarkEnd w:id="28"/>
          <w:bookmarkEnd w:id="29"/>
        </w:p>
      </w:sdtContent>
    </w:sdt>
    <w:bookmarkEnd w:id="27"/>
    <w:p w14:paraId="4023D790">
      <w:pPr>
        <w:pStyle w:val="39"/>
        <w:spacing w:before="312" w:after="312"/>
        <w:outlineLvl w:val="0"/>
      </w:pPr>
      <w:bookmarkStart w:id="30" w:name="_Toc26986771"/>
      <w:bookmarkStart w:id="31" w:name="_Toc17233333"/>
      <w:bookmarkStart w:id="32" w:name="_Toc17233325"/>
      <w:bookmarkStart w:id="33" w:name="_Toc26718930"/>
      <w:bookmarkStart w:id="34" w:name="_Toc24884211"/>
      <w:bookmarkStart w:id="35" w:name="_Toc26648465"/>
      <w:bookmarkStart w:id="36" w:name="_Toc22033"/>
      <w:bookmarkStart w:id="37" w:name="_Toc97191423"/>
      <w:bookmarkStart w:id="38" w:name="_Toc9032"/>
      <w:bookmarkStart w:id="39" w:name="_Toc26986530"/>
      <w:bookmarkStart w:id="40" w:name="_Toc24884218"/>
      <w:r>
        <w:rPr>
          <w:rFonts w:hint="eastAsia"/>
        </w:rPr>
        <w:t>范围</w:t>
      </w:r>
      <w:bookmarkEnd w:id="30"/>
      <w:bookmarkEnd w:id="31"/>
      <w:bookmarkEnd w:id="32"/>
      <w:bookmarkEnd w:id="33"/>
      <w:bookmarkEnd w:id="34"/>
      <w:bookmarkEnd w:id="35"/>
      <w:bookmarkEnd w:id="36"/>
      <w:bookmarkEnd w:id="37"/>
      <w:bookmarkEnd w:id="38"/>
      <w:bookmarkEnd w:id="39"/>
      <w:bookmarkEnd w:id="40"/>
    </w:p>
    <w:p w14:paraId="0E543696">
      <w:pPr>
        <w:pStyle w:val="38"/>
        <w:ind w:firstLine="420"/>
        <w:rPr>
          <w:rFonts w:hint="eastAsia"/>
          <w:lang w:val="en-US" w:eastAsia="zh-CN"/>
        </w:rPr>
      </w:pPr>
      <w:bookmarkStart w:id="41" w:name="_Toc24884219"/>
      <w:bookmarkStart w:id="42" w:name="_Toc17233334"/>
      <w:bookmarkStart w:id="43" w:name="_Toc17233326"/>
      <w:bookmarkStart w:id="44" w:name="_Toc26648466"/>
      <w:bookmarkStart w:id="45" w:name="_Toc24884212"/>
      <w:r>
        <w:rPr>
          <w:rFonts w:hint="eastAsia"/>
        </w:rPr>
        <w:t>本文件规定了药品</w:t>
      </w:r>
      <w:r>
        <w:rPr>
          <w:rFonts w:hint="eastAsia"/>
          <w:lang w:eastAsia="zh-CN"/>
        </w:rPr>
        <w:t>、</w:t>
      </w:r>
      <w:r>
        <w:rPr>
          <w:rFonts w:hint="eastAsia"/>
          <w:lang w:val="en-US" w:eastAsia="zh-CN"/>
        </w:rPr>
        <w:t>医疗器械、化妆品</w:t>
      </w:r>
      <w:r>
        <w:rPr>
          <w:rFonts w:hint="eastAsia"/>
        </w:rPr>
        <w:t>企业日常检查</w:t>
      </w:r>
      <w:r>
        <w:rPr>
          <w:rFonts w:hint="eastAsia"/>
          <w:lang w:val="en-US" w:eastAsia="zh-CN"/>
        </w:rPr>
        <w:t>相关的基本要求。</w:t>
      </w:r>
    </w:p>
    <w:p w14:paraId="36BB71DB">
      <w:pPr>
        <w:pStyle w:val="38"/>
        <w:ind w:left="0" w:leftChars="0" w:firstLine="420" w:firstLineChars="200"/>
        <w:rPr>
          <w:rFonts w:hint="default" w:eastAsia="宋体"/>
          <w:lang w:val="en-US" w:eastAsia="zh-CN"/>
        </w:rPr>
      </w:pPr>
      <w:r>
        <w:rPr>
          <w:rFonts w:hint="eastAsia"/>
        </w:rPr>
        <w:t>本文件适用于</w:t>
      </w:r>
      <w:r>
        <w:rPr>
          <w:rFonts w:hint="eastAsia"/>
          <w:lang w:val="en-US" w:eastAsia="zh-CN"/>
        </w:rPr>
        <w:t>区域检查分局对辖区内</w:t>
      </w:r>
      <w:r>
        <w:rPr>
          <w:rFonts w:hint="eastAsia"/>
        </w:rPr>
        <w:t>药品</w:t>
      </w:r>
      <w:r>
        <w:rPr>
          <w:rFonts w:hint="eastAsia"/>
          <w:lang w:eastAsia="zh-CN"/>
        </w:rPr>
        <w:t>、</w:t>
      </w:r>
      <w:r>
        <w:rPr>
          <w:rFonts w:hint="eastAsia"/>
          <w:lang w:val="en-US" w:eastAsia="zh-CN"/>
        </w:rPr>
        <w:t>医疗器械、化妆品</w:t>
      </w:r>
      <w:r>
        <w:rPr>
          <w:rFonts w:hint="eastAsia"/>
        </w:rPr>
        <w:t>企业的日常检查。</w:t>
      </w:r>
      <w:r>
        <w:rPr>
          <w:rFonts w:hint="eastAsia"/>
          <w:lang w:val="en-US" w:eastAsia="zh-CN"/>
        </w:rPr>
        <w:t>市县药品监督管理部门开展日常检查工作可参照执行。</w:t>
      </w:r>
    </w:p>
    <w:p w14:paraId="2D5BE3CB">
      <w:pPr>
        <w:pStyle w:val="171"/>
        <w:keepNext w:val="0"/>
        <w:keepLines w:val="0"/>
        <w:pageBreakBefore w:val="0"/>
        <w:widowControl/>
        <w:kinsoku/>
        <w:wordWrap/>
        <w:overflowPunct/>
        <w:topLinePunct w:val="0"/>
        <w:autoSpaceDE/>
        <w:autoSpaceDN/>
        <w:bidi w:val="0"/>
        <w:adjustRightInd/>
        <w:snapToGrid/>
        <w:ind w:left="780" w:leftChars="200"/>
        <w:textAlignment w:val="auto"/>
        <w:rPr>
          <w:rFonts w:hint="default"/>
          <w:lang w:val="en-US" w:eastAsia="zh-CN"/>
        </w:rPr>
      </w:pPr>
      <w:r>
        <w:rPr>
          <w:rFonts w:hint="eastAsia"/>
          <w:lang w:val="en-US" w:eastAsia="zh-CN"/>
        </w:rPr>
        <w:t>注：为便于表述，本系列文件将</w:t>
      </w:r>
      <w:r>
        <w:rPr>
          <w:rFonts w:hint="eastAsia"/>
        </w:rPr>
        <w:t>药品</w:t>
      </w:r>
      <w:r>
        <w:rPr>
          <w:rFonts w:hint="eastAsia"/>
          <w:lang w:eastAsia="zh-CN"/>
        </w:rPr>
        <w:t>、</w:t>
      </w:r>
      <w:r>
        <w:rPr>
          <w:rFonts w:hint="eastAsia"/>
          <w:lang w:val="en-US" w:eastAsia="zh-CN"/>
        </w:rPr>
        <w:t>医疗器械、化妆品统称为“药械化”。</w:t>
      </w:r>
    </w:p>
    <w:p w14:paraId="3593AE99">
      <w:pPr>
        <w:pStyle w:val="39"/>
        <w:spacing w:before="312" w:after="312"/>
        <w:outlineLvl w:val="0"/>
      </w:pPr>
      <w:bookmarkStart w:id="46" w:name="_Toc26986772"/>
      <w:bookmarkStart w:id="47" w:name="_Toc26718931"/>
      <w:bookmarkStart w:id="48" w:name="_Toc97191424"/>
      <w:bookmarkStart w:id="49" w:name="_Toc17322"/>
      <w:bookmarkStart w:id="50" w:name="_Toc26986531"/>
      <w:bookmarkStart w:id="51" w:name="_Toc4571"/>
      <w:r>
        <w:rPr>
          <w:rFonts w:hint="eastAsia"/>
        </w:rPr>
        <w:t>规范性引用文件</w:t>
      </w:r>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7CEAB962C1AD44DC8D2BC10E70AC84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46BF45">
          <w:pPr>
            <w:pStyle w:val="38"/>
            <w:ind w:firstLine="420"/>
          </w:pPr>
          <w:r>
            <w:rPr>
              <w:rFonts w:hint="eastAsia"/>
            </w:rPr>
            <w:t>本文件没有规范性引用文件。</w:t>
          </w:r>
        </w:p>
      </w:sdtContent>
    </w:sdt>
    <w:p w14:paraId="7477ADFF">
      <w:pPr>
        <w:pStyle w:val="39"/>
        <w:spacing w:before="312" w:after="312"/>
        <w:outlineLvl w:val="0"/>
      </w:pPr>
      <w:bookmarkStart w:id="52" w:name="_Toc20573"/>
      <w:bookmarkStart w:id="53" w:name="_Toc19201"/>
      <w:bookmarkStart w:id="54" w:name="_Toc97191425"/>
      <w:r>
        <w:rPr>
          <w:rFonts w:hint="eastAsia"/>
          <w:szCs w:val="21"/>
        </w:rPr>
        <w:t>术语和定义</w:t>
      </w:r>
      <w:bookmarkEnd w:id="52"/>
      <w:bookmarkEnd w:id="53"/>
      <w:bookmarkEnd w:id="54"/>
    </w:p>
    <w:sdt>
      <w:sdtPr>
        <w:id w:val="-1"/>
        <w:placeholder>
          <w:docPart w:val="FC8DA23904774BA79D9386B4AB058F3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A36E30A">
          <w:pPr>
            <w:pStyle w:val="38"/>
            <w:ind w:firstLine="420"/>
          </w:pPr>
          <w:bookmarkStart w:id="55" w:name="_Toc26986532"/>
          <w:bookmarkEnd w:id="55"/>
          <w:r>
            <w:rPr>
              <w:rFonts w:ascii="宋体" w:hAnsi="Times New Roman" w:eastAsia="宋体" w:cs="Times New Roman"/>
              <w:sz w:val="21"/>
              <w:lang w:val="en-US" w:eastAsia="zh-CN" w:bidi="ar-SA"/>
            </w:rPr>
            <w:t>本文件没有需要界定的术语和定义。</w:t>
          </w:r>
        </w:p>
      </w:sdtContent>
    </w:sdt>
    <w:p w14:paraId="7EF05601">
      <w:pPr>
        <w:pStyle w:val="39"/>
        <w:spacing w:before="312" w:after="312"/>
        <w:outlineLvl w:val="0"/>
        <w:rPr>
          <w:rFonts w:hint="eastAsia"/>
          <w:lang w:val="en-US" w:eastAsia="zh-CN"/>
        </w:rPr>
      </w:pPr>
      <w:bookmarkStart w:id="56" w:name="_Toc19592"/>
      <w:bookmarkStart w:id="57" w:name="_Toc30806"/>
      <w:r>
        <w:rPr>
          <w:rFonts w:hint="eastAsia"/>
          <w:szCs w:val="21"/>
          <w:lang w:val="en-US" w:eastAsia="zh-CN"/>
        </w:rPr>
        <w:t>基本原则</w:t>
      </w:r>
      <w:bookmarkEnd w:id="56"/>
      <w:bookmarkEnd w:id="57"/>
    </w:p>
    <w:p w14:paraId="7EADEEC0">
      <w:pPr>
        <w:pStyle w:val="51"/>
        <w:keepNext w:val="0"/>
        <w:keepLines w:val="0"/>
        <w:pageBreakBefore w:val="0"/>
        <w:widowControl/>
        <w:tabs>
          <w:tab w:val="left" w:pos="5460"/>
        </w:tabs>
        <w:kinsoku/>
        <w:wordWrap/>
        <w:overflowPunct/>
        <w:topLinePunct w:val="0"/>
        <w:autoSpaceDE/>
        <w:autoSpaceDN/>
        <w:bidi w:val="0"/>
        <w:adjustRightInd/>
        <w:snapToGrid/>
        <w:spacing w:before="157" w:beforeLines="50" w:after="157" w:afterLines="50"/>
        <w:ind w:left="0" w:hanging="420" w:hangingChars="200"/>
        <w:textAlignment w:val="auto"/>
        <w:rPr>
          <w:rFonts w:hint="eastAsia" w:ascii="黑体" w:hAnsi="Times New Roman" w:eastAsia="黑体" w:cs="Times New Roman"/>
          <w:sz w:val="21"/>
          <w:szCs w:val="21"/>
          <w:lang w:val="en-US" w:eastAsia="zh-CN" w:bidi="ar-SA"/>
        </w:rPr>
      </w:pPr>
      <w:r>
        <w:rPr>
          <w:rFonts w:hint="eastAsia" w:ascii="黑体" w:eastAsia="黑体" w:cs="Times New Roman"/>
          <w:sz w:val="21"/>
          <w:szCs w:val="21"/>
          <w:lang w:val="en-US" w:eastAsia="zh-CN" w:bidi="ar-SA"/>
        </w:rPr>
        <w:t>程序规范，依法行政</w:t>
      </w:r>
    </w:p>
    <w:p w14:paraId="0E5C94E2">
      <w:pPr>
        <w:keepNext w:val="0"/>
        <w:keepLines w:val="0"/>
        <w:widowControl/>
        <w:suppressLineNumbers w:val="0"/>
        <w:ind w:firstLine="420" w:firstLineChars="200"/>
        <w:jc w:val="left"/>
        <w:rPr>
          <w:rFonts w:hint="default" w:ascii="宋体" w:hAnsi="Times New Roman" w:eastAsia="宋体" w:cs="Times New Roman"/>
          <w:i w:val="0"/>
          <w:iCs w:val="0"/>
          <w:caps w:val="0"/>
          <w:spacing w:val="0"/>
          <w:kern w:val="2"/>
          <w:sz w:val="21"/>
          <w:szCs w:val="20"/>
          <w:u w:val="none"/>
          <w:shd w:val="clear"/>
          <w:lang w:val="en-US" w:eastAsia="zh-CN" w:bidi="ar-SA"/>
        </w:rPr>
      </w:pPr>
      <w:r>
        <w:rPr>
          <w:rFonts w:hint="eastAsia" w:cs="Times New Roman"/>
          <w:kern w:val="2"/>
          <w:sz w:val="21"/>
          <w:szCs w:val="20"/>
          <w:lang w:val="en-US" w:eastAsia="zh-CN" w:bidi="ar-SA"/>
        </w:rPr>
        <w:t>以法规为前提</w:t>
      </w:r>
      <w:r>
        <w:rPr>
          <w:rFonts w:hint="eastAsia" w:ascii="宋体" w:hAnsi="Times New Roman" w:eastAsia="宋体" w:cs="Times New Roman"/>
          <w:kern w:val="2"/>
          <w:sz w:val="21"/>
          <w:szCs w:val="20"/>
          <w:lang w:val="en-US" w:eastAsia="zh-CN" w:bidi="ar-SA"/>
        </w:rPr>
        <w:t>，</w:t>
      </w:r>
      <w:r>
        <w:rPr>
          <w:rFonts w:hint="eastAsia" w:ascii="宋体" w:hAnsi="Times New Roman" w:cs="Times New Roman"/>
          <w:sz w:val="21"/>
          <w:szCs w:val="20"/>
          <w:lang w:val="en-US" w:eastAsia="zh-CN" w:bidi="ar-SA"/>
        </w:rPr>
        <w:t>按照</w:t>
      </w:r>
      <w:r>
        <w:rPr>
          <w:rFonts w:hint="eastAsia" w:ascii="宋体" w:hAnsi="Times New Roman" w:eastAsia="宋体" w:cs="Times New Roman"/>
          <w:kern w:val="2"/>
          <w:sz w:val="21"/>
          <w:szCs w:val="20"/>
          <w:lang w:val="en-US" w:eastAsia="zh-CN" w:bidi="ar-SA"/>
        </w:rPr>
        <w:t>法定程序</w:t>
      </w:r>
      <w:r>
        <w:rPr>
          <w:rFonts w:hint="eastAsia" w:ascii="宋体" w:hAnsi="Times New Roman" w:cs="Times New Roman"/>
          <w:kern w:val="2"/>
          <w:sz w:val="21"/>
          <w:szCs w:val="20"/>
          <w:lang w:val="en-US" w:eastAsia="zh-CN" w:bidi="ar-SA"/>
        </w:rPr>
        <w:t>与职责范围开展日常</w:t>
      </w:r>
      <w:r>
        <w:rPr>
          <w:rFonts w:hint="eastAsia" w:ascii="宋体" w:hAnsi="Times New Roman" w:eastAsia="宋体" w:cs="Times New Roman"/>
          <w:kern w:val="2"/>
          <w:sz w:val="21"/>
          <w:szCs w:val="20"/>
          <w:lang w:val="en-US" w:eastAsia="zh-CN" w:bidi="ar-SA"/>
        </w:rPr>
        <w:t>检查</w:t>
      </w:r>
      <w:r>
        <w:rPr>
          <w:rFonts w:hint="eastAsia" w:ascii="宋体" w:hAnsi="Times New Roman" w:cs="Times New Roman"/>
          <w:kern w:val="2"/>
          <w:sz w:val="21"/>
          <w:szCs w:val="20"/>
          <w:lang w:val="en-US" w:eastAsia="zh-CN" w:bidi="ar-SA"/>
        </w:rPr>
        <w:t>工作，构建</w:t>
      </w:r>
      <w:r>
        <w:rPr>
          <w:rFonts w:hint="eastAsia" w:ascii="宋体" w:hAnsi="Times New Roman" w:eastAsia="宋体" w:cs="Times New Roman"/>
          <w:i w:val="0"/>
          <w:iCs w:val="0"/>
          <w:caps w:val="0"/>
          <w:color w:val="auto"/>
          <w:spacing w:val="0"/>
          <w:kern w:val="2"/>
          <w:sz w:val="21"/>
          <w:szCs w:val="20"/>
          <w:u w:val="none"/>
          <w:shd w:val="clear" w:fill="auto"/>
          <w:lang w:val="en-US" w:eastAsia="zh-CN" w:bidi="ar-SA"/>
        </w:rPr>
        <w:t>权责一致、分工合理、决策科学、执行顺畅、监督有力的日常检查</w:t>
      </w:r>
      <w:r>
        <w:rPr>
          <w:rFonts w:hint="eastAsia" w:ascii="宋体" w:hAnsi="Times New Roman" w:eastAsia="宋体" w:cs="Times New Roman"/>
          <w:i w:val="0"/>
          <w:iCs w:val="0"/>
          <w:caps w:val="0"/>
          <w:spacing w:val="0"/>
          <w:kern w:val="2"/>
          <w:sz w:val="21"/>
          <w:szCs w:val="20"/>
          <w:u w:val="none"/>
          <w:shd w:val="clear"/>
          <w:lang w:val="en-US" w:eastAsia="zh-CN" w:bidi="ar-SA"/>
        </w:rPr>
        <w:t>监管</w:t>
      </w:r>
      <w:r>
        <w:rPr>
          <w:rFonts w:hint="eastAsia" w:ascii="宋体" w:hAnsi="Times New Roman" w:eastAsia="宋体" w:cs="Times New Roman"/>
          <w:i w:val="0"/>
          <w:iCs w:val="0"/>
          <w:caps w:val="0"/>
          <w:color w:val="auto"/>
          <w:spacing w:val="0"/>
          <w:kern w:val="2"/>
          <w:sz w:val="21"/>
          <w:szCs w:val="20"/>
          <w:u w:val="none"/>
          <w:shd w:val="clear" w:fill="auto"/>
          <w:lang w:val="en-US" w:eastAsia="zh-CN" w:bidi="ar-SA"/>
        </w:rPr>
        <w:t>体</w:t>
      </w:r>
      <w:r>
        <w:rPr>
          <w:rFonts w:hint="eastAsia" w:ascii="宋体" w:hAnsi="Times New Roman" w:cs="Times New Roman"/>
          <w:i w:val="0"/>
          <w:iCs w:val="0"/>
          <w:caps w:val="0"/>
          <w:color w:val="auto"/>
          <w:spacing w:val="0"/>
          <w:kern w:val="2"/>
          <w:sz w:val="21"/>
          <w:szCs w:val="20"/>
          <w:u w:val="none"/>
          <w:shd w:val="clear" w:fill="auto"/>
          <w:lang w:val="en-US" w:eastAsia="zh-CN" w:bidi="ar-SA"/>
        </w:rPr>
        <w:t>系</w:t>
      </w:r>
      <w:r>
        <w:rPr>
          <w:rFonts w:hint="eastAsia" w:ascii="宋体" w:hAnsi="Times New Roman" w:eastAsia="宋体" w:cs="Times New Roman"/>
          <w:i w:val="0"/>
          <w:iCs w:val="0"/>
          <w:caps w:val="0"/>
          <w:color w:val="auto"/>
          <w:spacing w:val="0"/>
          <w:kern w:val="2"/>
          <w:sz w:val="21"/>
          <w:szCs w:val="20"/>
          <w:u w:val="none"/>
          <w:shd w:val="clear" w:fill="auto"/>
          <w:lang w:val="en-US" w:eastAsia="zh-CN" w:bidi="ar-SA"/>
        </w:rPr>
        <w:t>。</w:t>
      </w:r>
    </w:p>
    <w:p w14:paraId="680664B3">
      <w:pPr>
        <w:pStyle w:val="51"/>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hint="eastAsia" w:ascii="黑体" w:hAnsi="Times New Roman" w:eastAsia="黑体" w:cs="Times New Roman"/>
          <w:sz w:val="21"/>
          <w:szCs w:val="21"/>
          <w:highlight w:val="none"/>
          <w:lang w:val="en-US" w:eastAsia="zh-CN" w:bidi="ar-SA"/>
        </w:rPr>
      </w:pPr>
      <w:r>
        <w:rPr>
          <w:rFonts w:hint="eastAsia" w:ascii="黑体" w:eastAsia="黑体" w:cs="Times New Roman"/>
          <w:sz w:val="21"/>
          <w:szCs w:val="21"/>
          <w:highlight w:val="none"/>
          <w:lang w:val="en-US" w:eastAsia="zh-CN" w:bidi="ar-SA"/>
        </w:rPr>
        <w:t>动态监管，科学研判</w:t>
      </w:r>
    </w:p>
    <w:p w14:paraId="08075A4C">
      <w:pPr>
        <w:pStyle w:val="38"/>
        <w:rPr>
          <w:rFonts w:hint="eastAsia"/>
          <w:lang w:val="en-US" w:eastAsia="zh-CN"/>
        </w:rPr>
      </w:pPr>
      <w:r>
        <w:rPr>
          <w:rFonts w:hint="eastAsia"/>
          <w:lang w:val="en-US" w:eastAsia="zh-CN"/>
        </w:rPr>
        <w:t>加强检查数据分析研判，准确把握监督办案趋势，总结检查经验，提炼监管规律，构建动态更新、主动预防、科学精准的日常检查工作方法。</w:t>
      </w:r>
    </w:p>
    <w:p w14:paraId="7866C461">
      <w:pPr>
        <w:pStyle w:val="51"/>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hint="eastAsia" w:ascii="黑体" w:hAnsi="Times New Roman" w:eastAsia="黑体" w:cs="Times New Roman"/>
          <w:sz w:val="21"/>
          <w:szCs w:val="21"/>
          <w:highlight w:val="none"/>
          <w:lang w:val="en-US" w:eastAsia="zh-CN" w:bidi="ar-SA"/>
        </w:rPr>
      </w:pPr>
      <w:r>
        <w:rPr>
          <w:rFonts w:hint="eastAsia" w:ascii="黑体" w:eastAsia="黑体" w:cs="Times New Roman"/>
          <w:sz w:val="21"/>
          <w:szCs w:val="21"/>
          <w:highlight w:val="none"/>
          <w:lang w:val="en-US" w:eastAsia="zh-CN" w:bidi="ar-SA"/>
        </w:rPr>
        <w:t>问题导向，聚焦风险</w:t>
      </w:r>
    </w:p>
    <w:p w14:paraId="316C1C0D">
      <w:pPr>
        <w:pStyle w:val="51"/>
        <w:numPr>
          <w:ilvl w:val="2"/>
          <w:numId w:val="0"/>
        </w:numPr>
        <w:ind w:firstLine="420" w:firstLineChars="200"/>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建立</w:t>
      </w:r>
      <w:r>
        <w:rPr>
          <w:rFonts w:hint="eastAsia" w:hAnsi="Times New Roman" w:cs="Times New Roman"/>
          <w:color w:val="auto"/>
          <w:szCs w:val="20"/>
          <w:highlight w:val="none"/>
          <w:lang w:val="en-US" w:eastAsia="zh-CN"/>
        </w:rPr>
        <w:t>企业</w:t>
      </w:r>
      <w:r>
        <w:rPr>
          <w:rFonts w:hint="eastAsia" w:ascii="宋体" w:eastAsia="宋体" w:cs="Times New Roman"/>
          <w:sz w:val="21"/>
          <w:szCs w:val="20"/>
          <w:lang w:val="en-US" w:eastAsia="zh-CN" w:bidi="ar-SA"/>
        </w:rPr>
        <w:t>检查问题</w:t>
      </w:r>
      <w:r>
        <w:rPr>
          <w:rFonts w:hint="eastAsia" w:ascii="宋体" w:hAnsi="Times New Roman" w:eastAsia="宋体" w:cs="Times New Roman"/>
          <w:sz w:val="21"/>
          <w:szCs w:val="20"/>
          <w:lang w:val="en-US" w:eastAsia="zh-CN" w:bidi="ar-SA"/>
        </w:rPr>
        <w:t>清单</w:t>
      </w:r>
      <w:r>
        <w:rPr>
          <w:rFonts w:hint="eastAsia" w:ascii="宋体" w:eastAsia="宋体" w:cs="Times New Roman"/>
          <w:sz w:val="21"/>
          <w:szCs w:val="20"/>
          <w:highlight w:val="none"/>
          <w:lang w:val="en-US" w:eastAsia="zh-CN" w:bidi="ar-SA"/>
        </w:rPr>
        <w:t>和</w:t>
      </w:r>
      <w:r>
        <w:rPr>
          <w:rFonts w:hint="eastAsia" w:hAnsi="Times New Roman" w:cs="Times New Roman"/>
          <w:color w:val="auto"/>
          <w:szCs w:val="20"/>
          <w:highlight w:val="none"/>
        </w:rPr>
        <w:t>分级分类监管</w:t>
      </w:r>
      <w:r>
        <w:rPr>
          <w:rFonts w:hint="eastAsia" w:hAnsi="Times New Roman" w:cs="Times New Roman"/>
          <w:color w:val="auto"/>
          <w:szCs w:val="20"/>
          <w:highlight w:val="none"/>
          <w:lang w:val="en-US" w:eastAsia="zh-CN"/>
        </w:rPr>
        <w:t>名录</w:t>
      </w:r>
      <w:r>
        <w:rPr>
          <w:rFonts w:hint="eastAsia" w:ascii="宋体" w:eastAsia="宋体" w:cs="Times New Roman"/>
          <w:szCs w:val="20"/>
          <w:lang w:val="en-US" w:eastAsia="zh-CN"/>
        </w:rPr>
        <w:t>，实行精准监管</w:t>
      </w:r>
      <w:r>
        <w:rPr>
          <w:rFonts w:hint="eastAsia" w:ascii="宋体" w:eastAsia="宋体" w:cs="Times New Roman"/>
          <w:sz w:val="21"/>
          <w:szCs w:val="20"/>
          <w:highlight w:val="none"/>
          <w:lang w:val="en-US" w:eastAsia="zh-CN" w:bidi="ar-SA"/>
        </w:rPr>
        <w:t>，</w:t>
      </w:r>
      <w:r>
        <w:rPr>
          <w:rFonts w:hint="eastAsia" w:ascii="宋体" w:eastAsia="宋体" w:cs="Times New Roman"/>
          <w:sz w:val="21"/>
          <w:szCs w:val="20"/>
          <w:lang w:val="en-US" w:eastAsia="zh-CN" w:bidi="ar-SA"/>
        </w:rPr>
        <w:t>综合</w:t>
      </w:r>
      <w:r>
        <w:rPr>
          <w:rFonts w:hint="eastAsia" w:ascii="宋体" w:hAnsi="Times New Roman" w:eastAsia="宋体" w:cs="Times New Roman"/>
          <w:sz w:val="21"/>
          <w:szCs w:val="20"/>
          <w:lang w:val="en-US" w:eastAsia="zh-CN" w:bidi="ar-SA"/>
        </w:rPr>
        <w:t>运用</w:t>
      </w:r>
      <w:r>
        <w:rPr>
          <w:rFonts w:hint="eastAsia" w:ascii="宋体" w:eastAsia="宋体" w:cs="Times New Roman"/>
          <w:sz w:val="21"/>
          <w:szCs w:val="20"/>
          <w:lang w:val="en-US" w:eastAsia="zh-CN" w:bidi="ar-SA"/>
        </w:rPr>
        <w:t>监督</w:t>
      </w:r>
      <w:r>
        <w:rPr>
          <w:rFonts w:hint="eastAsia" w:ascii="宋体" w:hAnsi="Times New Roman" w:eastAsia="宋体" w:cs="Times New Roman"/>
          <w:sz w:val="21"/>
          <w:szCs w:val="20"/>
          <w:lang w:val="en-US" w:eastAsia="zh-CN" w:bidi="ar-SA"/>
        </w:rPr>
        <w:t>检查、监督抽检、风险监测、舆情监测、投诉举报等手段，</w:t>
      </w:r>
      <w:r>
        <w:rPr>
          <w:rFonts w:hint="eastAsia" w:ascii="宋体" w:eastAsia="宋体" w:cs="Times New Roman"/>
          <w:sz w:val="21"/>
          <w:szCs w:val="20"/>
          <w:lang w:val="en-US" w:eastAsia="zh-CN" w:bidi="ar-SA"/>
        </w:rPr>
        <w:t>形成监管闭环，</w:t>
      </w:r>
      <w:r>
        <w:rPr>
          <w:rFonts w:hint="eastAsia" w:ascii="宋体" w:hAnsi="Times New Roman" w:eastAsia="宋体" w:cs="Times New Roman"/>
          <w:sz w:val="21"/>
          <w:szCs w:val="20"/>
          <w:lang w:val="en-US" w:eastAsia="zh-CN" w:bidi="ar-SA"/>
        </w:rPr>
        <w:t>有效消除隐患、管控风险</w:t>
      </w:r>
      <w:r>
        <w:rPr>
          <w:rFonts w:hint="eastAsia" w:ascii="宋体" w:eastAsia="宋体" w:cs="Times New Roman"/>
          <w:sz w:val="21"/>
          <w:szCs w:val="20"/>
          <w:lang w:val="en-US" w:eastAsia="zh-CN" w:bidi="ar-SA"/>
        </w:rPr>
        <w:t>，</w:t>
      </w:r>
      <w:r>
        <w:rPr>
          <w:rFonts w:hint="eastAsia" w:ascii="宋体" w:hAnsi="Times New Roman" w:eastAsia="宋体" w:cs="Times New Roman"/>
          <w:sz w:val="21"/>
          <w:szCs w:val="20"/>
          <w:highlight w:val="none"/>
          <w:lang w:val="en-US" w:eastAsia="zh-CN" w:bidi="ar-SA"/>
        </w:rPr>
        <w:t>推动企业</w:t>
      </w:r>
      <w:r>
        <w:rPr>
          <w:rFonts w:hint="eastAsia" w:cs="Times New Roman"/>
          <w:sz w:val="21"/>
          <w:szCs w:val="20"/>
          <w:highlight w:val="none"/>
          <w:lang w:val="en-US" w:eastAsia="zh-CN" w:bidi="ar-SA"/>
        </w:rPr>
        <w:t>落实</w:t>
      </w:r>
      <w:r>
        <w:rPr>
          <w:rFonts w:hint="eastAsia" w:ascii="宋体" w:hAnsi="Times New Roman" w:eastAsia="宋体" w:cs="Times New Roman"/>
          <w:sz w:val="21"/>
          <w:szCs w:val="20"/>
          <w:highlight w:val="none"/>
          <w:lang w:val="en-US" w:eastAsia="zh-CN" w:bidi="ar-SA"/>
        </w:rPr>
        <w:t>主体责任</w:t>
      </w:r>
      <w:r>
        <w:rPr>
          <w:rFonts w:hint="eastAsia" w:ascii="宋体" w:hAnsi="Times New Roman" w:eastAsia="宋体" w:cs="Times New Roman"/>
          <w:sz w:val="21"/>
          <w:szCs w:val="20"/>
          <w:lang w:val="en-US" w:eastAsia="zh-CN" w:bidi="ar-SA"/>
        </w:rPr>
        <w:t>。</w:t>
      </w:r>
    </w:p>
    <w:p w14:paraId="49317737">
      <w:pPr>
        <w:pStyle w:val="51"/>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统筹</w:t>
      </w:r>
      <w:r>
        <w:rPr>
          <w:rFonts w:hint="eastAsia" w:ascii="黑体" w:eastAsia="黑体" w:cs="Times New Roman"/>
          <w:sz w:val="21"/>
          <w:szCs w:val="21"/>
          <w:lang w:val="en-US" w:eastAsia="zh-CN" w:bidi="ar-SA"/>
        </w:rPr>
        <w:t>规划，提升效能</w:t>
      </w:r>
    </w:p>
    <w:p w14:paraId="6E5B700C">
      <w:pPr>
        <w:pStyle w:val="51"/>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0" w:leftChars="0" w:firstLine="420" w:firstLineChars="200"/>
        <w:textAlignment w:val="auto"/>
        <w:rPr>
          <w:rFonts w:hint="eastAsia" w:ascii="宋体" w:hAnsi="Times New Roman" w:eastAsia="宋体" w:cs="Times New Roman"/>
          <w:sz w:val="21"/>
          <w:szCs w:val="20"/>
          <w:lang w:val="en-US" w:eastAsia="zh-CN" w:bidi="ar-SA"/>
        </w:rPr>
      </w:pPr>
      <w:r>
        <w:rPr>
          <w:rFonts w:hint="eastAsia" w:cs="Times New Roman"/>
          <w:sz w:val="21"/>
          <w:szCs w:val="20"/>
          <w:lang w:val="en-US" w:eastAsia="zh-CN" w:bidi="ar-SA"/>
        </w:rPr>
        <w:t>立足</w:t>
      </w:r>
      <w:r>
        <w:rPr>
          <w:rFonts w:hint="eastAsia" w:cs="Times New Roman"/>
          <w:sz w:val="21"/>
          <w:szCs w:val="20"/>
          <w:highlight w:val="none"/>
          <w:lang w:val="en-US" w:eastAsia="zh-CN" w:bidi="ar-SA"/>
        </w:rPr>
        <w:t>分局监管模式，探索日常检查</w:t>
      </w:r>
      <w:r>
        <w:rPr>
          <w:rFonts w:hint="eastAsia" w:ascii="宋体" w:hAnsi="Times New Roman" w:eastAsia="宋体" w:cs="Times New Roman"/>
          <w:sz w:val="21"/>
          <w:szCs w:val="20"/>
          <w:highlight w:val="none"/>
          <w:lang w:val="en-US" w:eastAsia="zh-CN" w:bidi="ar-SA"/>
        </w:rPr>
        <w:t>工作规律</w:t>
      </w:r>
      <w:r>
        <w:rPr>
          <w:rFonts w:hint="eastAsia" w:ascii="宋体" w:eastAsia="宋体" w:cs="Times New Roman"/>
          <w:sz w:val="21"/>
          <w:szCs w:val="20"/>
          <w:highlight w:val="none"/>
          <w:lang w:val="en-US" w:eastAsia="zh-CN" w:bidi="ar-SA"/>
        </w:rPr>
        <w:t>，</w:t>
      </w:r>
      <w:r>
        <w:rPr>
          <w:rFonts w:hint="eastAsia" w:ascii="宋体" w:hAnsi="Times New Roman" w:eastAsia="宋体" w:cs="Times New Roman"/>
          <w:sz w:val="21"/>
          <w:szCs w:val="20"/>
          <w:lang w:val="en-US" w:eastAsia="zh-CN" w:bidi="ar-SA"/>
        </w:rPr>
        <w:t>统筹</w:t>
      </w:r>
      <w:r>
        <w:rPr>
          <w:rFonts w:hint="eastAsia" w:cs="Times New Roman"/>
          <w:sz w:val="21"/>
          <w:szCs w:val="20"/>
          <w:lang w:val="en-US" w:eastAsia="zh-CN" w:bidi="ar-SA"/>
        </w:rPr>
        <w:t>规划日常检查与监督抽样工作，协同管理、</w:t>
      </w:r>
      <w:r>
        <w:rPr>
          <w:rFonts w:hint="eastAsia" w:ascii="宋体" w:eastAsia="宋体" w:cs="Times New Roman"/>
          <w:sz w:val="21"/>
          <w:szCs w:val="20"/>
          <w:highlight w:val="none"/>
          <w:lang w:val="en-US" w:eastAsia="zh-CN" w:bidi="ar-SA"/>
        </w:rPr>
        <w:t>一体推进；统筹衔接各级</w:t>
      </w:r>
      <w:r>
        <w:rPr>
          <w:rFonts w:hint="eastAsia" w:cs="Times New Roman"/>
          <w:sz w:val="21"/>
          <w:szCs w:val="20"/>
          <w:highlight w:val="none"/>
          <w:lang w:val="en-US" w:eastAsia="zh-CN" w:bidi="ar-SA"/>
        </w:rPr>
        <w:t>各类</w:t>
      </w:r>
      <w:r>
        <w:rPr>
          <w:rFonts w:hint="eastAsia" w:ascii="宋体" w:eastAsia="宋体" w:cs="Times New Roman"/>
          <w:sz w:val="21"/>
          <w:szCs w:val="20"/>
          <w:highlight w:val="none"/>
          <w:lang w:val="en-US" w:eastAsia="zh-CN" w:bidi="ar-SA"/>
        </w:rPr>
        <w:t>检查任务，各有侧重、联动推进，防止重复</w:t>
      </w:r>
      <w:r>
        <w:rPr>
          <w:rFonts w:hint="eastAsia" w:cs="Times New Roman"/>
          <w:sz w:val="21"/>
          <w:szCs w:val="20"/>
          <w:highlight w:val="none"/>
          <w:lang w:val="en-US" w:eastAsia="zh-CN" w:bidi="ar-SA"/>
        </w:rPr>
        <w:t>检查</w:t>
      </w:r>
      <w:r>
        <w:rPr>
          <w:rFonts w:hint="eastAsia" w:ascii="宋体" w:eastAsia="宋体" w:cs="Times New Roman"/>
          <w:sz w:val="21"/>
          <w:szCs w:val="20"/>
          <w:highlight w:val="none"/>
          <w:lang w:val="en-US" w:eastAsia="zh-CN" w:bidi="ar-SA"/>
        </w:rPr>
        <w:t>，</w:t>
      </w:r>
      <w:r>
        <w:rPr>
          <w:rFonts w:hint="eastAsia" w:cs="Times New Roman"/>
          <w:sz w:val="21"/>
          <w:szCs w:val="20"/>
          <w:lang w:val="en-US" w:eastAsia="zh-CN" w:bidi="ar-SA"/>
        </w:rPr>
        <w:t>提高监管效能</w:t>
      </w:r>
      <w:r>
        <w:rPr>
          <w:rFonts w:hint="eastAsia" w:ascii="宋体" w:hAnsi="Times New Roman" w:eastAsia="宋体" w:cs="Times New Roman"/>
          <w:sz w:val="21"/>
          <w:szCs w:val="20"/>
          <w:lang w:val="en-US" w:eastAsia="zh-CN" w:bidi="ar-SA"/>
        </w:rPr>
        <w:t>。</w:t>
      </w:r>
    </w:p>
    <w:p w14:paraId="49A29ACD">
      <w:pPr>
        <w:pStyle w:val="51"/>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hint="eastAsia" w:ascii="黑体" w:hAnsi="Times New Roman" w:eastAsia="黑体" w:cs="Times New Roman"/>
          <w:sz w:val="21"/>
          <w:szCs w:val="21"/>
          <w:lang w:val="en-US" w:eastAsia="zh-CN" w:bidi="ar-SA"/>
        </w:rPr>
      </w:pPr>
      <w:r>
        <w:rPr>
          <w:rFonts w:hint="eastAsia" w:ascii="黑体" w:eastAsia="黑体" w:cs="Times New Roman"/>
          <w:sz w:val="21"/>
          <w:szCs w:val="21"/>
          <w:lang w:val="en-US" w:eastAsia="zh-CN" w:bidi="ar-SA"/>
        </w:rPr>
        <w:t>与时俱进，</w:t>
      </w:r>
      <w:r>
        <w:rPr>
          <w:rFonts w:hint="eastAsia" w:ascii="黑体" w:hAnsi="Times New Roman" w:eastAsia="黑体" w:cs="Times New Roman"/>
          <w:sz w:val="21"/>
          <w:szCs w:val="21"/>
          <w:lang w:val="en-US" w:eastAsia="zh-CN" w:bidi="ar-SA"/>
        </w:rPr>
        <w:t>创新</w:t>
      </w:r>
      <w:r>
        <w:rPr>
          <w:rFonts w:hint="eastAsia" w:ascii="黑体" w:eastAsia="黑体" w:cs="Times New Roman"/>
          <w:sz w:val="21"/>
          <w:szCs w:val="21"/>
          <w:lang w:val="en-US" w:eastAsia="zh-CN" w:bidi="ar-SA"/>
        </w:rPr>
        <w:t>方法</w:t>
      </w:r>
    </w:p>
    <w:p w14:paraId="472B11D9">
      <w:pPr>
        <w:pStyle w:val="51"/>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firstLine="420" w:firstLineChars="200"/>
        <w:textAlignment w:val="auto"/>
        <w:rPr>
          <w:rFonts w:hint="eastAsia"/>
          <w:lang w:val="en-US" w:eastAsia="zh-CN"/>
        </w:rPr>
      </w:pPr>
      <w:r>
        <w:rPr>
          <w:rFonts w:hint="eastAsia"/>
          <w:lang w:val="en-US" w:eastAsia="zh-CN"/>
        </w:rPr>
        <w:t>夯实日常检查数据基础，推动监管信息化建设；引入新兴技术，</w:t>
      </w:r>
      <w:r>
        <w:rPr>
          <w:rFonts w:hint="eastAsia" w:cs="Times New Roman"/>
          <w:sz w:val="21"/>
          <w:szCs w:val="20"/>
          <w:lang w:val="en-US" w:eastAsia="zh-CN" w:bidi="ar-SA"/>
        </w:rPr>
        <w:t>创新监管模式，</w:t>
      </w:r>
      <w:r>
        <w:rPr>
          <w:rFonts w:hint="eastAsia"/>
          <w:lang w:val="en-US" w:eastAsia="zh-CN"/>
        </w:rPr>
        <w:t>构建涵盖市场主体事前预警、事中事后监管等环节的全链条监管体系，提升精准监管的科学化水平。</w:t>
      </w:r>
    </w:p>
    <w:bookmarkEnd w:id="26"/>
    <w:p w14:paraId="39E3496F">
      <w:pPr>
        <w:pStyle w:val="51"/>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hint="eastAsia" w:ascii="黑体" w:eastAsia="黑体" w:cs="Times New Roman"/>
          <w:sz w:val="21"/>
          <w:szCs w:val="21"/>
          <w:lang w:val="en-US" w:eastAsia="zh-CN" w:bidi="ar-SA"/>
        </w:rPr>
      </w:pPr>
      <w:r>
        <w:rPr>
          <w:rFonts w:hint="eastAsia" w:ascii="黑体" w:eastAsia="黑体" w:cs="Times New Roman"/>
          <w:sz w:val="21"/>
          <w:szCs w:val="21"/>
          <w:lang w:val="en-US" w:eastAsia="zh-CN" w:bidi="ar-SA"/>
        </w:rPr>
        <w:t>强化服务，支持发展</w:t>
      </w:r>
    </w:p>
    <w:p w14:paraId="1E9FBADD">
      <w:pPr>
        <w:pStyle w:val="38"/>
        <w:ind w:firstLine="420" w:firstLineChars="200"/>
        <w:rPr>
          <w:rFonts w:hint="eastAsia" w:ascii="宋体" w:hAnsi="Times New Roman" w:eastAsia="宋体" w:cs="Times New Roman"/>
          <w:sz w:val="21"/>
          <w:szCs w:val="20"/>
          <w:highlight w:val="cyan"/>
          <w:lang w:val="en-US" w:eastAsia="zh-CN" w:bidi="ar-SA"/>
        </w:rPr>
      </w:pPr>
      <w:r>
        <w:rPr>
          <w:rFonts w:hint="eastAsia" w:cs="Times New Roman"/>
          <w:sz w:val="21"/>
          <w:szCs w:val="20"/>
          <w:lang w:val="en-US" w:eastAsia="zh-CN" w:bidi="ar-SA"/>
        </w:rPr>
        <w:t>加强</w:t>
      </w:r>
      <w:r>
        <w:rPr>
          <w:rFonts w:hint="eastAsia" w:ascii="宋体" w:hAnsi="Times New Roman" w:eastAsia="宋体" w:cs="Times New Roman"/>
          <w:sz w:val="21"/>
          <w:szCs w:val="20"/>
          <w:lang w:val="en-US" w:eastAsia="zh-CN" w:bidi="ar-SA"/>
        </w:rPr>
        <w:t>行政执法队伍建设，</w:t>
      </w:r>
      <w:r>
        <w:rPr>
          <w:rFonts w:hint="eastAsia" w:cs="Times New Roman"/>
          <w:sz w:val="21"/>
          <w:szCs w:val="20"/>
          <w:lang w:val="en-US" w:eastAsia="zh-CN" w:bidi="ar-SA"/>
        </w:rPr>
        <w:t>提升</w:t>
      </w:r>
      <w:r>
        <w:rPr>
          <w:rFonts w:hint="eastAsia" w:ascii="宋体" w:hAnsi="Times New Roman" w:eastAsia="宋体" w:cs="Times New Roman"/>
          <w:sz w:val="21"/>
          <w:szCs w:val="20"/>
          <w:lang w:val="en-US" w:eastAsia="zh-CN" w:bidi="ar-SA"/>
        </w:rPr>
        <w:t>执法能力和</w:t>
      </w:r>
      <w:r>
        <w:rPr>
          <w:rFonts w:hint="eastAsia" w:cs="Times New Roman"/>
          <w:sz w:val="21"/>
          <w:szCs w:val="20"/>
          <w:lang w:val="en-US" w:eastAsia="zh-CN" w:bidi="ar-SA"/>
        </w:rPr>
        <w:t>综合服务</w:t>
      </w:r>
      <w:r>
        <w:rPr>
          <w:rFonts w:hint="eastAsia" w:ascii="宋体" w:hAnsi="Times New Roman" w:eastAsia="宋体" w:cs="Times New Roman"/>
          <w:sz w:val="21"/>
          <w:szCs w:val="20"/>
          <w:lang w:val="en-US" w:eastAsia="zh-CN" w:bidi="ar-SA"/>
        </w:rPr>
        <w:t>水平</w:t>
      </w:r>
      <w:r>
        <w:rPr>
          <w:rFonts w:hint="eastAsia" w:cs="Times New Roman"/>
          <w:sz w:val="21"/>
          <w:szCs w:val="20"/>
          <w:lang w:val="en-US" w:eastAsia="zh-CN" w:bidi="ar-SA"/>
        </w:rPr>
        <w:t>；将</w:t>
      </w:r>
      <w:r>
        <w:rPr>
          <w:rFonts w:hint="eastAsia" w:ascii="宋体" w:eastAsia="宋体" w:cs="Times New Roman"/>
          <w:sz w:val="21"/>
          <w:szCs w:val="20"/>
          <w:lang w:val="en-US" w:eastAsia="zh-CN" w:bidi="ar-SA"/>
        </w:rPr>
        <w:t>日常检查与普法教育相结合，</w:t>
      </w:r>
      <w:r>
        <w:rPr>
          <w:rFonts w:hint="eastAsia" w:ascii="宋体" w:hAnsi="Times New Roman" w:eastAsia="宋体" w:cs="Times New Roman"/>
          <w:sz w:val="21"/>
          <w:szCs w:val="20"/>
          <w:lang w:val="en-US" w:eastAsia="zh-CN" w:bidi="ar-SA"/>
        </w:rPr>
        <w:t>以高效能的监管推动行业的法律认知</w:t>
      </w:r>
      <w:r>
        <w:rPr>
          <w:rFonts w:hint="eastAsia" w:cs="Times New Roman"/>
          <w:sz w:val="21"/>
          <w:szCs w:val="20"/>
          <w:lang w:val="en-US" w:eastAsia="zh-CN" w:bidi="ar-SA"/>
        </w:rPr>
        <w:t>与</w:t>
      </w:r>
      <w:r>
        <w:rPr>
          <w:rFonts w:hint="eastAsia" w:ascii="宋体" w:hAnsi="Times New Roman" w:eastAsia="宋体" w:cs="Times New Roman"/>
          <w:sz w:val="21"/>
          <w:szCs w:val="20"/>
          <w:lang w:val="en-US" w:eastAsia="zh-CN" w:bidi="ar-SA"/>
        </w:rPr>
        <w:t>质量</w:t>
      </w:r>
      <w:r>
        <w:rPr>
          <w:rFonts w:hint="eastAsia" w:cs="Times New Roman"/>
          <w:sz w:val="21"/>
          <w:szCs w:val="20"/>
          <w:lang w:val="en-US" w:eastAsia="zh-CN" w:bidi="ar-SA"/>
        </w:rPr>
        <w:t>意识提升</w:t>
      </w:r>
      <w:r>
        <w:rPr>
          <w:rFonts w:hint="eastAsia" w:ascii="宋体" w:hAnsi="Times New Roman" w:eastAsia="宋体" w:cs="Times New Roman"/>
          <w:sz w:val="21"/>
          <w:szCs w:val="20"/>
          <w:lang w:val="en-US" w:eastAsia="zh-CN" w:bidi="ar-SA"/>
        </w:rPr>
        <w:t>，助力行业高质量发展。</w:t>
      </w:r>
    </w:p>
    <w:p w14:paraId="3915F767">
      <w:pPr>
        <w:pStyle w:val="39"/>
        <w:spacing w:before="312" w:after="312"/>
        <w:outlineLvl w:val="0"/>
        <w:rPr>
          <w:rFonts w:hint="default"/>
          <w:szCs w:val="21"/>
          <w:lang w:val="en-US" w:eastAsia="zh-CN"/>
        </w:rPr>
      </w:pPr>
      <w:bookmarkStart w:id="58" w:name="_Toc10621"/>
      <w:bookmarkStart w:id="59" w:name="_Toc3933"/>
      <w:r>
        <w:rPr>
          <w:rFonts w:hint="eastAsia"/>
          <w:szCs w:val="21"/>
          <w:lang w:val="en-US" w:eastAsia="zh-CN"/>
        </w:rPr>
        <w:t>主要相关方</w:t>
      </w:r>
      <w:bookmarkEnd w:id="58"/>
      <w:bookmarkEnd w:id="59"/>
    </w:p>
    <w:p w14:paraId="2C553A29">
      <w:pPr>
        <w:pStyle w:val="41"/>
        <w:spacing w:beforeLines="0" w:afterLines="0"/>
        <w:rPr>
          <w:rFonts w:hint="eastAsia" w:ascii="宋体" w:hAnsi="宋体" w:eastAsia="宋体" w:cs="宋体"/>
          <w:lang w:val="en-US" w:eastAsia="zh-CN"/>
        </w:rPr>
      </w:pPr>
      <w:bookmarkStart w:id="60" w:name="_Toc1891923971"/>
      <w:r>
        <w:rPr>
          <w:rFonts w:hint="eastAsia" w:ascii="宋体" w:hAnsi="宋体" w:eastAsia="宋体" w:cs="宋体"/>
          <w:lang w:val="en-US" w:eastAsia="zh-CN"/>
        </w:rPr>
        <w:t>省药品监督管理局是药械化日常检查的省级主管部门，负责统筹全省日常检查工作，整体调度工作安排、监督考核、信息发布等。</w:t>
      </w:r>
      <w:bookmarkEnd w:id="60"/>
    </w:p>
    <w:p w14:paraId="07DF193A">
      <w:pPr>
        <w:pStyle w:val="41"/>
        <w:spacing w:beforeLines="0" w:afterLines="0"/>
        <w:rPr>
          <w:rFonts w:hint="eastAsia" w:ascii="宋体" w:hAnsi="宋体" w:eastAsia="宋体" w:cs="宋体"/>
          <w:lang w:val="en-US" w:eastAsia="zh-CN"/>
        </w:rPr>
      </w:pPr>
      <w:bookmarkStart w:id="61" w:name="_Toc1923303115"/>
      <w:r>
        <w:rPr>
          <w:rFonts w:hint="eastAsia" w:ascii="宋体" w:hAnsi="宋体" w:eastAsia="宋体" w:cs="宋体"/>
          <w:highlight w:val="none"/>
          <w:lang w:val="en-US" w:eastAsia="zh-CN"/>
        </w:rPr>
        <w:t>各区域检查分局</w:t>
      </w:r>
      <w:r>
        <w:rPr>
          <w:rFonts w:hint="eastAsia" w:ascii="宋体" w:hAnsi="宋体" w:eastAsia="宋体" w:cs="宋体"/>
          <w:lang w:val="en-US" w:eastAsia="zh-CN"/>
        </w:rPr>
        <w:t>是日常检查工作的主要组织实施方，负责编制年度检查计划、制定检查方案、派出检查组、实施日常检查、跟踪检查结果、采取后处置措施等。</w:t>
      </w:r>
      <w:bookmarkEnd w:id="61"/>
    </w:p>
    <w:p w14:paraId="5DD1AA27">
      <w:pPr>
        <w:pStyle w:val="41"/>
        <w:spacing w:beforeLines="0" w:afterLines="0"/>
        <w:rPr>
          <w:rFonts w:hint="eastAsia" w:ascii="宋体" w:hAnsi="宋体" w:eastAsia="宋体" w:cs="宋体"/>
          <w:lang w:val="en-US" w:eastAsia="zh-CN"/>
        </w:rPr>
      </w:pPr>
      <w:bookmarkStart w:id="62" w:name="_Toc1031599161"/>
      <w:r>
        <w:rPr>
          <w:rFonts w:hint="eastAsia" w:ascii="宋体" w:hAnsi="宋体" w:eastAsia="宋体" w:cs="宋体"/>
          <w:lang w:val="en-US" w:eastAsia="zh-CN"/>
        </w:rPr>
        <w:t>检验机构负责对日常检查工作涉及的抽样产品进行检验。</w:t>
      </w:r>
      <w:bookmarkEnd w:id="62"/>
    </w:p>
    <w:p w14:paraId="530C0A6E">
      <w:pPr>
        <w:pStyle w:val="41"/>
        <w:spacing w:beforeLines="0" w:afterLines="0"/>
        <w:rPr>
          <w:rFonts w:hint="default" w:ascii="宋体" w:hAnsi="宋体" w:eastAsia="宋体" w:cs="宋体"/>
          <w:lang w:val="en-US" w:eastAsia="zh-CN"/>
        </w:rPr>
      </w:pPr>
      <w:bookmarkStart w:id="63" w:name="_Toc1451616696"/>
      <w:r>
        <w:rPr>
          <w:rFonts w:hint="eastAsia" w:ascii="宋体" w:hAnsi="宋体" w:eastAsia="宋体" w:cs="宋体"/>
          <w:lang w:val="en-US" w:eastAsia="zh-CN"/>
        </w:rPr>
        <w:t>药品、医疗器械、化妆品生产经营使用单位是日常检查对象，应按法规及标准要求组织生产经营、使用并依法开展内部日常管理，配合监管部门开展日常检查，同时可对日常检查进行监督。</w:t>
      </w:r>
      <w:bookmarkEnd w:id="63"/>
    </w:p>
    <w:p w14:paraId="0B278467">
      <w:pPr>
        <w:pStyle w:val="41"/>
        <w:spacing w:beforeLines="0" w:afterLines="0"/>
        <w:rPr>
          <w:rFonts w:hint="default" w:ascii="宋体" w:hAnsi="Times New Roman" w:eastAsia="宋体" w:cs="Times New Roman"/>
          <w:sz w:val="21"/>
          <w:highlight w:val="none"/>
          <w:lang w:val="en-US" w:eastAsia="zh-CN" w:bidi="ar-SA"/>
        </w:rPr>
      </w:pPr>
      <w:bookmarkStart w:id="64" w:name="_Toc1907579752"/>
      <w:r>
        <w:rPr>
          <w:rFonts w:hint="eastAsia" w:ascii="宋体" w:hAnsi="宋体" w:eastAsia="宋体" w:cs="宋体"/>
          <w:lang w:val="en-US" w:eastAsia="zh-CN"/>
        </w:rPr>
        <w:t>公众及其他利益相关方可以依法对日常检查进行社会监督、共享检查信息、实施联合惩戒。</w:t>
      </w:r>
      <w:bookmarkEnd w:id="64"/>
    </w:p>
    <w:p w14:paraId="74451CE1">
      <w:pPr>
        <w:pStyle w:val="39"/>
        <w:spacing w:before="312" w:after="312"/>
        <w:outlineLvl w:val="0"/>
        <w:rPr>
          <w:rFonts w:hint="default" w:ascii="黑体" w:eastAsia="黑体" w:cs="Times New Roman"/>
          <w:sz w:val="21"/>
          <w:szCs w:val="21"/>
          <w:highlight w:val="none"/>
          <w:lang w:val="en-US" w:eastAsia="zh-CN" w:bidi="ar-SA"/>
        </w:rPr>
      </w:pPr>
      <w:bookmarkStart w:id="65" w:name="_Toc12581"/>
      <w:bookmarkStart w:id="66" w:name="_Toc31140"/>
      <w:r>
        <w:rPr>
          <w:rFonts w:hint="eastAsia" w:cs="Times New Roman"/>
          <w:sz w:val="21"/>
          <w:szCs w:val="21"/>
          <w:highlight w:val="none"/>
          <w:lang w:val="en-US" w:eastAsia="zh-CN" w:bidi="ar-SA"/>
        </w:rPr>
        <w:t>检查人员</w:t>
      </w:r>
      <w:bookmarkEnd w:id="65"/>
      <w:bookmarkEnd w:id="66"/>
    </w:p>
    <w:p w14:paraId="01B5C92F">
      <w:pPr>
        <w:pStyle w:val="41"/>
        <w:spacing w:before="156" w:after="156"/>
        <w:rPr>
          <w:rFonts w:hint="default"/>
          <w:highlight w:val="none"/>
          <w:lang w:val="en-US" w:eastAsia="zh-CN"/>
        </w:rPr>
      </w:pPr>
      <w:r>
        <w:rPr>
          <w:rFonts w:hint="eastAsia" w:cs="Times New Roman"/>
          <w:sz w:val="21"/>
          <w:szCs w:val="21"/>
          <w:highlight w:val="none"/>
          <w:lang w:val="en-US" w:eastAsia="zh-CN" w:bidi="ar-SA"/>
        </w:rPr>
        <w:t>资质能力</w:t>
      </w:r>
    </w:p>
    <w:p w14:paraId="2F4DE9A0">
      <w:pPr>
        <w:pStyle w:val="37"/>
        <w:keepNext w:val="0"/>
        <w:keepLines w:val="0"/>
        <w:pageBreakBefore w:val="0"/>
        <w:widowControl w:val="0"/>
        <w:numPr>
          <w:ilvl w:val="-1"/>
          <w:numId w:val="0"/>
        </w:numPr>
        <w:kinsoku/>
        <w:wordWrap/>
        <w:overflowPunct/>
        <w:topLinePunct w:val="0"/>
        <w:autoSpaceDE/>
        <w:autoSpaceDN/>
        <w:bidi w:val="0"/>
        <w:adjustRightInd/>
        <w:snapToGrid/>
        <w:spacing w:before="156" w:afterLines="0"/>
        <w:ind w:firstLine="420" w:firstLineChars="200"/>
        <w:textAlignment w:val="auto"/>
        <w:rPr>
          <w:rFonts w:hint="default" w:ascii="宋体" w:hAnsi="Times New Roman" w:eastAsia="宋体" w:cs="Times New Roman"/>
          <w:sz w:val="21"/>
          <w:highlight w:val="none"/>
          <w:lang w:val="en-US" w:eastAsia="zh-CN" w:bidi="ar-SA"/>
        </w:rPr>
      </w:pPr>
      <w:r>
        <w:rPr>
          <w:rFonts w:hint="eastAsia" w:ascii="宋体" w:eastAsia="宋体" w:cs="Times New Roman"/>
          <w:sz w:val="21"/>
          <w:highlight w:val="none"/>
          <w:lang w:val="en-US" w:eastAsia="zh-CN" w:bidi="ar-SA"/>
        </w:rPr>
        <w:t>检查</w:t>
      </w:r>
      <w:r>
        <w:rPr>
          <w:rFonts w:hint="eastAsia" w:ascii="宋体" w:hAnsi="Times New Roman" w:eastAsia="宋体" w:cs="Times New Roman"/>
          <w:sz w:val="21"/>
          <w:highlight w:val="none"/>
          <w:lang w:val="en-US" w:eastAsia="zh-CN" w:bidi="ar-SA"/>
        </w:rPr>
        <w:t>人员</w:t>
      </w:r>
      <w:r>
        <w:rPr>
          <w:rFonts w:hint="eastAsia" w:ascii="宋体" w:eastAsia="宋体" w:cs="Times New Roman"/>
          <w:sz w:val="21"/>
          <w:highlight w:val="none"/>
          <w:lang w:val="en-US" w:eastAsia="zh-CN" w:bidi="ar-SA"/>
        </w:rPr>
        <w:t>资质能力</w:t>
      </w:r>
      <w:r>
        <w:rPr>
          <w:rFonts w:hint="eastAsia" w:ascii="宋体" w:hAnsi="Times New Roman" w:eastAsia="宋体" w:cs="Times New Roman"/>
          <w:sz w:val="21"/>
          <w:highlight w:val="none"/>
          <w:lang w:val="en-US" w:eastAsia="zh-CN" w:bidi="ar-SA"/>
        </w:rPr>
        <w:t>要求包括但不限于：</w:t>
      </w:r>
    </w:p>
    <w:p w14:paraId="4921B147">
      <w:pPr>
        <w:pStyle w:val="38"/>
        <w:keepNext w:val="0"/>
        <w:keepLines w:val="0"/>
        <w:pageBreakBefore w:val="0"/>
        <w:widowControl/>
        <w:numPr>
          <w:ilvl w:val="0"/>
          <w:numId w:val="32"/>
        </w:numPr>
        <w:kinsoku/>
        <w:wordWrap/>
        <w:overflowPunct/>
        <w:topLinePunct w:val="0"/>
        <w:bidi w:val="0"/>
        <w:adjustRightInd/>
        <w:snapToGrid/>
        <w:ind w:firstLine="0" w:firstLineChars="0"/>
        <w:textAlignment w:val="auto"/>
        <w:rPr>
          <w:rFonts w:hint="eastAsia" w:ascii="宋体" w:hAnsi="Times New Roman" w:eastAsia="宋体" w:cs="Times New Roman"/>
          <w:highlight w:val="none"/>
          <w:lang w:val="en-US" w:eastAsia="zh-CN"/>
        </w:rPr>
      </w:pPr>
      <w:r>
        <w:rPr>
          <w:rFonts w:hint="eastAsia" w:cs="Times New Roman"/>
          <w:highlight w:val="none"/>
          <w:lang w:val="en-US" w:eastAsia="zh-CN"/>
        </w:rPr>
        <w:t>取得由政府部门发放的行政执法证件；</w:t>
      </w:r>
    </w:p>
    <w:p w14:paraId="443CC44C">
      <w:pPr>
        <w:pStyle w:val="38"/>
        <w:keepNext w:val="0"/>
        <w:keepLines w:val="0"/>
        <w:pageBreakBefore w:val="0"/>
        <w:widowControl/>
        <w:numPr>
          <w:ilvl w:val="0"/>
          <w:numId w:val="32"/>
        </w:numPr>
        <w:kinsoku/>
        <w:wordWrap/>
        <w:overflowPunct/>
        <w:topLinePunct w:val="0"/>
        <w:bidi w:val="0"/>
        <w:adjustRightInd/>
        <w:snapToGrid/>
        <w:ind w:leftChars="200" w:firstLine="0" w:firstLineChars="0"/>
        <w:textAlignment w:val="auto"/>
        <w:rPr>
          <w:rFonts w:hint="eastAsia" w:ascii="宋体" w:hAnsi="Times New Roman" w:eastAsia="宋体" w:cs="Times New Roman"/>
          <w:highlight w:val="none"/>
          <w:lang w:val="en-US" w:eastAsia="zh-CN"/>
        </w:rPr>
      </w:pPr>
      <w:r>
        <w:rPr>
          <w:rFonts w:hint="eastAsia" w:cs="Times New Roman"/>
          <w:highlight w:val="none"/>
          <w:lang w:val="en-US" w:eastAsia="zh-CN"/>
        </w:rPr>
        <w:t>掌握</w:t>
      </w:r>
      <w:r>
        <w:rPr>
          <w:rFonts w:hint="eastAsia" w:ascii="宋体" w:hAnsi="Times New Roman" w:eastAsia="宋体" w:cs="Times New Roman"/>
          <w:highlight w:val="none"/>
          <w:lang w:val="en-US" w:eastAsia="zh-CN"/>
        </w:rPr>
        <w:t>与</w:t>
      </w:r>
      <w:r>
        <w:rPr>
          <w:rFonts w:hint="eastAsia" w:cs="Times New Roman"/>
          <w:highlight w:val="none"/>
          <w:lang w:val="en-US" w:eastAsia="zh-CN"/>
        </w:rPr>
        <w:t>检查</w:t>
      </w:r>
      <w:r>
        <w:rPr>
          <w:rFonts w:hint="eastAsia" w:ascii="宋体" w:hAnsi="Times New Roman" w:eastAsia="宋体" w:cs="Times New Roman"/>
          <w:highlight w:val="none"/>
          <w:lang w:val="en-US" w:eastAsia="zh-CN"/>
        </w:rPr>
        <w:t>产品相关的法律法规、专业技术及标准要求，并定期接受培训；</w:t>
      </w:r>
    </w:p>
    <w:p w14:paraId="397FF4FD">
      <w:pPr>
        <w:pStyle w:val="38"/>
        <w:keepNext w:val="0"/>
        <w:keepLines w:val="0"/>
        <w:pageBreakBefore w:val="0"/>
        <w:widowControl/>
        <w:numPr>
          <w:ilvl w:val="0"/>
          <w:numId w:val="32"/>
        </w:numPr>
        <w:kinsoku/>
        <w:wordWrap/>
        <w:overflowPunct/>
        <w:topLinePunct w:val="0"/>
        <w:bidi w:val="0"/>
        <w:adjustRightInd/>
        <w:snapToGrid/>
        <w:ind w:left="420" w:leftChars="200" w:firstLine="0" w:firstLineChars="0"/>
        <w:textAlignment w:val="auto"/>
        <w:rPr>
          <w:rFonts w:hint="eastAsia" w:ascii="宋体" w:hAnsi="Times New Roman" w:eastAsia="宋体" w:cs="Times New Roman"/>
          <w:highlight w:val="none"/>
          <w:lang w:val="en-US" w:eastAsia="zh-CN"/>
        </w:rPr>
      </w:pPr>
      <w:r>
        <w:rPr>
          <w:rFonts w:hint="eastAsia" w:ascii="宋体" w:eastAsia="宋体" w:cs="Times New Roman"/>
          <w:highlight w:val="none"/>
          <w:lang w:val="en-US" w:eastAsia="zh-CN"/>
        </w:rPr>
        <w:t>具备良好的沟通协调能力，能对现场检查突发事件进行应急处置</w:t>
      </w:r>
      <w:r>
        <w:rPr>
          <w:rFonts w:hint="eastAsia" w:cs="Times New Roman"/>
          <w:highlight w:val="none"/>
          <w:lang w:val="en-US" w:eastAsia="zh-CN"/>
        </w:rPr>
        <w:t>；</w:t>
      </w:r>
    </w:p>
    <w:p w14:paraId="317007C3">
      <w:pPr>
        <w:pStyle w:val="38"/>
        <w:keepNext w:val="0"/>
        <w:keepLines w:val="0"/>
        <w:pageBreakBefore w:val="0"/>
        <w:widowControl/>
        <w:numPr>
          <w:ilvl w:val="0"/>
          <w:numId w:val="32"/>
        </w:numPr>
        <w:kinsoku/>
        <w:wordWrap/>
        <w:overflowPunct/>
        <w:topLinePunct w:val="0"/>
        <w:bidi w:val="0"/>
        <w:adjustRightInd/>
        <w:snapToGrid/>
        <w:ind w:leftChars="200" w:firstLine="0" w:firstLineChars="0"/>
        <w:textAlignment w:val="auto"/>
        <w:rPr>
          <w:rFonts w:hint="eastAsia" w:ascii="宋体" w:hAnsi="Times New Roman" w:eastAsia="宋体" w:cs="Times New Roman"/>
          <w:szCs w:val="21"/>
          <w:highlight w:val="none"/>
          <w:lang w:val="en-US" w:eastAsia="zh-CN"/>
        </w:rPr>
      </w:pPr>
      <w:r>
        <w:rPr>
          <w:rFonts w:hint="eastAsia" w:hAnsi="Times New Roman" w:eastAsia="宋体" w:cs="Times New Roman"/>
          <w:highlight w:val="none"/>
          <w:lang w:val="en-US" w:eastAsia="zh-CN"/>
        </w:rPr>
        <w:t>掌握</w:t>
      </w:r>
      <w:r>
        <w:rPr>
          <w:rFonts w:hint="eastAsia" w:eastAsia="宋体" w:cs="Times New Roman"/>
          <w:highlight w:val="none"/>
          <w:lang w:val="en-US" w:eastAsia="zh-CN"/>
        </w:rPr>
        <w:t>产品</w:t>
      </w:r>
      <w:r>
        <w:rPr>
          <w:rFonts w:hint="eastAsia" w:hAnsi="Times New Roman" w:eastAsia="宋体" w:cs="Times New Roman"/>
          <w:highlight w:val="none"/>
          <w:lang w:val="en-US" w:eastAsia="zh-CN"/>
        </w:rPr>
        <w:t>抽样方法，</w:t>
      </w:r>
      <w:r>
        <w:rPr>
          <w:rFonts w:hint="eastAsia" w:eastAsia="宋体" w:cs="Times New Roman"/>
          <w:highlight w:val="none"/>
          <w:lang w:val="en-US" w:eastAsia="zh-CN"/>
        </w:rPr>
        <w:t>可</w:t>
      </w:r>
      <w:r>
        <w:rPr>
          <w:rFonts w:hint="eastAsia" w:hAnsi="Times New Roman" w:eastAsia="宋体" w:cs="Times New Roman"/>
          <w:highlight w:val="none"/>
          <w:lang w:val="en-US" w:eastAsia="zh-CN"/>
        </w:rPr>
        <w:t>熟练使用采样器具</w:t>
      </w:r>
      <w:r>
        <w:rPr>
          <w:rFonts w:hint="eastAsia" w:eastAsia="宋体" w:cs="Times New Roman"/>
          <w:highlight w:val="none"/>
          <w:lang w:val="en-US" w:eastAsia="zh-CN"/>
        </w:rPr>
        <w:t>和用品</w:t>
      </w:r>
      <w:r>
        <w:rPr>
          <w:rFonts w:hint="eastAsia" w:hAnsi="Times New Roman" w:eastAsia="宋体" w:cs="Times New Roman"/>
          <w:highlight w:val="none"/>
          <w:lang w:val="en-US" w:eastAsia="zh-CN"/>
        </w:rPr>
        <w:t>，能对</w:t>
      </w:r>
      <w:r>
        <w:rPr>
          <w:rFonts w:hint="eastAsia" w:eastAsia="宋体" w:cs="Times New Roman"/>
          <w:highlight w:val="none"/>
          <w:lang w:val="en-US" w:eastAsia="zh-CN"/>
        </w:rPr>
        <w:t>抽样</w:t>
      </w:r>
      <w:r>
        <w:rPr>
          <w:rFonts w:hint="eastAsia" w:hAnsi="Times New Roman" w:eastAsia="宋体" w:cs="Times New Roman"/>
          <w:highlight w:val="none"/>
          <w:lang w:val="en-US" w:eastAsia="zh-CN"/>
        </w:rPr>
        <w:t>异常情况做出基本判断</w:t>
      </w:r>
      <w:r>
        <w:rPr>
          <w:rFonts w:hint="eastAsia" w:cs="Times New Roman"/>
          <w:highlight w:val="none"/>
          <w:lang w:val="en-US" w:eastAsia="zh-CN"/>
        </w:rPr>
        <w:t>。</w:t>
      </w:r>
    </w:p>
    <w:p w14:paraId="26B0F2A6">
      <w:pPr>
        <w:pStyle w:val="41"/>
        <w:spacing w:before="156" w:after="156"/>
        <w:rPr>
          <w:rFonts w:hint="eastAsia" w:ascii="黑体" w:hAnsi="Times New Roman" w:eastAsia="黑体" w:cs="Times New Roman"/>
          <w:szCs w:val="21"/>
          <w:highlight w:val="none"/>
          <w:lang w:val="en-US" w:eastAsia="zh-CN"/>
        </w:rPr>
      </w:pPr>
      <w:r>
        <w:rPr>
          <w:rFonts w:hint="eastAsia" w:ascii="黑体" w:eastAsia="黑体" w:cs="Times New Roman"/>
          <w:b w:val="0"/>
          <w:bCs w:val="0"/>
          <w:sz w:val="21"/>
          <w:szCs w:val="21"/>
          <w:highlight w:val="none"/>
          <w:lang w:val="en-US" w:eastAsia="zh-CN" w:bidi="ar-SA"/>
        </w:rPr>
        <w:t>行为规范</w:t>
      </w:r>
    </w:p>
    <w:p w14:paraId="4DBA4BF5">
      <w:pPr>
        <w:pStyle w:val="37"/>
        <w:keepNext w:val="0"/>
        <w:keepLines w:val="0"/>
        <w:pageBreakBefore w:val="0"/>
        <w:widowControl w:val="0"/>
        <w:numPr>
          <w:ilvl w:val="-1"/>
          <w:numId w:val="0"/>
        </w:numPr>
        <w:kinsoku/>
        <w:wordWrap/>
        <w:overflowPunct/>
        <w:topLinePunct w:val="0"/>
        <w:autoSpaceDE/>
        <w:autoSpaceDN/>
        <w:bidi w:val="0"/>
        <w:adjustRightInd/>
        <w:snapToGrid/>
        <w:spacing w:before="156" w:afterLines="0"/>
        <w:ind w:firstLine="420" w:firstLineChars="200"/>
        <w:textAlignment w:val="auto"/>
        <w:rPr>
          <w:rFonts w:hint="default" w:ascii="宋体" w:eastAsia="宋体" w:cs="Times New Roman"/>
          <w:sz w:val="21"/>
          <w:highlight w:val="none"/>
          <w:lang w:val="en-US" w:eastAsia="zh-CN" w:bidi="ar-SA"/>
        </w:rPr>
      </w:pPr>
      <w:r>
        <w:rPr>
          <w:rFonts w:hint="eastAsia" w:ascii="宋体" w:eastAsia="宋体" w:cs="Times New Roman"/>
          <w:sz w:val="21"/>
          <w:highlight w:val="none"/>
          <w:lang w:val="en-US" w:eastAsia="zh-CN" w:bidi="ar-SA"/>
        </w:rPr>
        <w:t>检查人员行为规范要求包括但不限于：</w:t>
      </w:r>
    </w:p>
    <w:p w14:paraId="2A3B0CEC">
      <w:pPr>
        <w:pStyle w:val="49"/>
        <w:numPr>
          <w:ilvl w:val="0"/>
          <w:numId w:val="33"/>
        </w:numPr>
        <w:ind w:firstLineChars="0"/>
        <w:rPr>
          <w:rFonts w:hint="eastAsia" w:ascii="宋体" w:hAnsi="Times New Roman" w:eastAsia="宋体" w:cs="Times New Roman"/>
          <w:kern w:val="0"/>
          <w:sz w:val="21"/>
          <w:szCs w:val="20"/>
          <w:highlight w:val="none"/>
          <w:lang w:val="en-US" w:eastAsia="zh-CN" w:bidi="ar"/>
        </w:rPr>
      </w:pPr>
      <w:r>
        <w:rPr>
          <w:rFonts w:hint="eastAsia" w:ascii="宋体" w:eastAsia="宋体" w:cs="Times New Roman"/>
          <w:i w:val="0"/>
          <w:caps w:val="0"/>
          <w:spacing w:val="0"/>
          <w:sz w:val="21"/>
          <w:szCs w:val="20"/>
          <w:highlight w:val="none"/>
          <w:shd w:val="clear"/>
          <w:lang w:val="en-US" w:eastAsia="zh-CN"/>
        </w:rPr>
        <w:t>应</w:t>
      </w:r>
      <w:r>
        <w:rPr>
          <w:rFonts w:hint="eastAsia" w:ascii="宋体" w:hAnsi="Times New Roman" w:eastAsia="宋体" w:cs="Times New Roman"/>
          <w:i w:val="0"/>
          <w:caps w:val="0"/>
          <w:color w:val="000000"/>
          <w:spacing w:val="0"/>
          <w:sz w:val="21"/>
          <w:szCs w:val="20"/>
          <w:highlight w:val="none"/>
          <w:shd w:val="clear" w:color="auto" w:fill="FFFFFF"/>
          <w:lang w:val="en-US" w:eastAsia="zh-CN"/>
        </w:rPr>
        <w:t>坚守法治、遵守纪律、恪守道德，清正廉洁、公道正派、公私分明</w:t>
      </w:r>
      <w:r>
        <w:rPr>
          <w:rFonts w:hint="eastAsia" w:ascii="宋体" w:eastAsia="宋体" w:cs="Times New Roman"/>
          <w:i w:val="0"/>
          <w:caps w:val="0"/>
          <w:spacing w:val="0"/>
          <w:sz w:val="21"/>
          <w:szCs w:val="20"/>
          <w:highlight w:val="none"/>
          <w:shd w:val="clear"/>
          <w:lang w:val="en-US" w:eastAsia="zh-CN"/>
        </w:rPr>
        <w:t>；</w:t>
      </w:r>
    </w:p>
    <w:p w14:paraId="5589FCA8">
      <w:pPr>
        <w:pStyle w:val="49"/>
        <w:numPr>
          <w:ilvl w:val="0"/>
          <w:numId w:val="33"/>
        </w:numPr>
        <w:ind w:firstLineChars="0"/>
        <w:rPr>
          <w:rFonts w:hint="eastAsia" w:ascii="宋体" w:hAnsi="Times New Roman" w:eastAsia="宋体" w:cs="Times New Roman"/>
          <w:kern w:val="0"/>
          <w:sz w:val="21"/>
          <w:szCs w:val="20"/>
          <w:highlight w:val="none"/>
          <w:lang w:val="en-US" w:eastAsia="zh-CN" w:bidi="ar"/>
        </w:rPr>
      </w:pPr>
      <w:r>
        <w:rPr>
          <w:rFonts w:hint="eastAsia" w:ascii="宋体" w:hAnsi="Times New Roman" w:eastAsia="宋体" w:cs="Times New Roman"/>
          <w:highlight w:val="none"/>
          <w:lang w:val="en-US" w:eastAsia="zh-CN"/>
        </w:rPr>
        <w:t>所从事的检查活动与个人利益间发生矛盾或者冲突</w:t>
      </w:r>
      <w:r>
        <w:rPr>
          <w:rFonts w:hint="eastAsia" w:cs="Times New Roman"/>
          <w:highlight w:val="none"/>
          <w:lang w:val="en-US" w:eastAsia="zh-CN"/>
        </w:rPr>
        <w:t>时</w:t>
      </w:r>
      <w:r>
        <w:rPr>
          <w:rFonts w:hint="eastAsia" w:ascii="宋体" w:hAnsi="Times New Roman" w:eastAsia="宋体" w:cs="Times New Roman"/>
          <w:highlight w:val="none"/>
          <w:lang w:val="en-US" w:eastAsia="zh-CN"/>
        </w:rPr>
        <w:t>，应主动回避</w:t>
      </w:r>
      <w:r>
        <w:rPr>
          <w:rFonts w:hint="eastAsia" w:ascii="宋体" w:eastAsia="宋体" w:cs="Times New Roman"/>
          <w:highlight w:val="none"/>
          <w:lang w:val="en-US" w:eastAsia="zh-CN"/>
        </w:rPr>
        <w:t>；</w:t>
      </w:r>
    </w:p>
    <w:p w14:paraId="0C90F359">
      <w:pPr>
        <w:pStyle w:val="49"/>
        <w:numPr>
          <w:ilvl w:val="0"/>
          <w:numId w:val="33"/>
        </w:numPr>
        <w:ind w:firstLineChars="0"/>
        <w:rPr>
          <w:rFonts w:hint="eastAsia" w:ascii="宋体" w:hAnsi="Times New Roman" w:eastAsia="宋体" w:cs="Times New Roman"/>
          <w:kern w:val="0"/>
          <w:sz w:val="21"/>
          <w:szCs w:val="20"/>
          <w:highlight w:val="none"/>
          <w:lang w:val="en-US" w:eastAsia="zh-CN" w:bidi="ar"/>
        </w:rPr>
      </w:pPr>
      <w:r>
        <w:rPr>
          <w:rFonts w:hint="eastAsia" w:ascii="宋体" w:hAnsi="Times New Roman" w:eastAsia="宋体" w:cs="Times New Roman"/>
          <w:kern w:val="0"/>
          <w:sz w:val="21"/>
          <w:szCs w:val="20"/>
          <w:highlight w:val="none"/>
          <w:lang w:val="en-US" w:eastAsia="zh-CN" w:bidi="ar"/>
        </w:rPr>
        <w:t>实施检查时，应举止端正、行为得体、谈吐文明、姿态良好；</w:t>
      </w:r>
    </w:p>
    <w:p w14:paraId="3DFA2C64">
      <w:pPr>
        <w:pStyle w:val="49"/>
        <w:numPr>
          <w:ilvl w:val="0"/>
          <w:numId w:val="33"/>
        </w:numPr>
        <w:ind w:firstLineChars="0"/>
        <w:rPr>
          <w:rFonts w:hint="eastAsia" w:ascii="宋体" w:hAnsi="Times New Roman" w:eastAsia="宋体" w:cs="Times New Roman"/>
          <w:kern w:val="0"/>
          <w:sz w:val="21"/>
          <w:szCs w:val="20"/>
          <w:lang w:val="en-US" w:eastAsia="zh-CN" w:bidi="ar"/>
        </w:rPr>
      </w:pPr>
      <w:r>
        <w:rPr>
          <w:rFonts w:hint="eastAsia" w:ascii="宋体" w:hAnsi="Times New Roman" w:eastAsia="宋体" w:cs="Times New Roman"/>
          <w:i w:val="0"/>
          <w:caps w:val="0"/>
          <w:color w:val="000000"/>
          <w:spacing w:val="0"/>
          <w:sz w:val="21"/>
          <w:szCs w:val="20"/>
          <w:highlight w:val="none"/>
          <w:shd w:val="clear" w:color="auto" w:fill="FFFFFF"/>
          <w:lang w:bidi="ar"/>
        </w:rPr>
        <w:t>实施</w:t>
      </w:r>
      <w:r>
        <w:rPr>
          <w:rFonts w:hint="eastAsia" w:ascii="宋体" w:hAnsi="Times New Roman" w:eastAsia="宋体" w:cs="Times New Roman"/>
          <w:i w:val="0"/>
          <w:caps w:val="0"/>
          <w:spacing w:val="0"/>
          <w:sz w:val="21"/>
          <w:szCs w:val="20"/>
          <w:highlight w:val="none"/>
          <w:shd w:val="clear"/>
          <w:lang w:val="en-US" w:eastAsia="zh-CN" w:bidi="ar"/>
        </w:rPr>
        <w:t>检查</w:t>
      </w:r>
      <w:r>
        <w:rPr>
          <w:rFonts w:hint="eastAsia" w:ascii="宋体" w:hAnsi="Times New Roman" w:eastAsia="宋体" w:cs="Times New Roman"/>
          <w:i w:val="0"/>
          <w:caps w:val="0"/>
          <w:color w:val="000000"/>
          <w:spacing w:val="0"/>
          <w:sz w:val="21"/>
          <w:szCs w:val="20"/>
          <w:highlight w:val="none"/>
          <w:shd w:val="clear" w:color="auto" w:fill="FFFFFF"/>
          <w:lang w:bidi="ar"/>
        </w:rPr>
        <w:t>时，应使用文明规范用语、表达准确、通俗简洁、以理服人</w:t>
      </w:r>
      <w:r>
        <w:rPr>
          <w:rFonts w:hint="eastAsia" w:ascii="宋体" w:eastAsia="宋体" w:cs="Times New Roman"/>
          <w:i w:val="0"/>
          <w:caps w:val="0"/>
          <w:spacing w:val="0"/>
          <w:sz w:val="21"/>
          <w:szCs w:val="20"/>
          <w:highlight w:val="none"/>
          <w:shd w:val="clear"/>
          <w:lang w:eastAsia="zh-CN" w:bidi="ar"/>
        </w:rPr>
        <w:t>。</w:t>
      </w:r>
    </w:p>
    <w:p w14:paraId="2AEDC0C4">
      <w:pPr>
        <w:pStyle w:val="41"/>
        <w:spacing w:before="156" w:after="156"/>
        <w:rPr>
          <w:rFonts w:hint="eastAsia" w:ascii="黑体" w:eastAsia="黑体"/>
          <w:b w:val="0"/>
          <w:bCs w:val="0"/>
          <w:szCs w:val="21"/>
          <w:highlight w:val="none"/>
          <w:lang w:val="en-US" w:eastAsia="zh-CN"/>
        </w:rPr>
      </w:pPr>
      <w:r>
        <w:rPr>
          <w:rFonts w:hint="eastAsia" w:ascii="黑体" w:hAnsi="Times New Roman" w:eastAsia="黑体" w:cs="Times New Roman"/>
          <w:b w:val="0"/>
          <w:bCs w:val="0"/>
          <w:kern w:val="0"/>
          <w:sz w:val="21"/>
          <w:szCs w:val="21"/>
          <w:highlight w:val="none"/>
          <w:lang w:val="en-US" w:eastAsia="zh-CN" w:bidi="ar-SA"/>
        </w:rPr>
        <w:t>外部专家</w:t>
      </w:r>
    </w:p>
    <w:p w14:paraId="458BF7A8">
      <w:pPr>
        <w:pStyle w:val="37"/>
        <w:keepNext w:val="0"/>
        <w:keepLines w:val="0"/>
        <w:pageBreakBefore w:val="0"/>
        <w:widowControl w:val="0"/>
        <w:kinsoku/>
        <w:wordWrap/>
        <w:overflowPunct/>
        <w:topLinePunct w:val="0"/>
        <w:autoSpaceDE/>
        <w:autoSpaceDN/>
        <w:bidi w:val="0"/>
        <w:adjustRightInd/>
        <w:snapToGrid/>
        <w:spacing w:beforeLines="0" w:afterLines="0"/>
        <w:ind w:firstLine="0" w:firstLineChars="0"/>
        <w:textAlignment w:val="auto"/>
        <w:rPr>
          <w:rFonts w:hint="default"/>
          <w:lang w:val="en-US" w:eastAsia="zh-CN"/>
        </w:rPr>
      </w:pPr>
      <w:r>
        <w:rPr>
          <w:rFonts w:hint="eastAsia" w:ascii="宋体" w:hAnsi="宋体" w:eastAsia="宋体" w:cs="宋体"/>
          <w:kern w:val="0"/>
          <w:sz w:val="21"/>
          <w:szCs w:val="21"/>
          <w:lang w:val="en-US" w:eastAsia="zh-CN" w:bidi="ar"/>
        </w:rPr>
        <w:t>当检查任务涉及特定专业需要时，可选派相关领域专家参与日</w:t>
      </w:r>
      <w:r>
        <w:rPr>
          <w:rFonts w:hint="eastAsia" w:ascii="宋体" w:hAnsi="宋体" w:eastAsia="宋体" w:cs="宋体"/>
          <w:kern w:val="0"/>
          <w:sz w:val="21"/>
          <w:szCs w:val="21"/>
          <w:highlight w:val="none"/>
          <w:lang w:val="en-US" w:eastAsia="zh-CN" w:bidi="ar"/>
        </w:rPr>
        <w:t>常检</w:t>
      </w:r>
      <w:r>
        <w:rPr>
          <w:rFonts w:hint="eastAsia" w:ascii="宋体" w:hAnsi="Times New Roman" w:eastAsia="宋体" w:cs="Times New Roman"/>
          <w:sz w:val="21"/>
          <w:highlight w:val="none"/>
          <w:lang w:val="en-US" w:eastAsia="zh-CN" w:bidi="ar-SA"/>
        </w:rPr>
        <w:t>查工作。</w:t>
      </w:r>
    </w:p>
    <w:p w14:paraId="7BB9F18D">
      <w:pPr>
        <w:pStyle w:val="37"/>
        <w:keepNext w:val="0"/>
        <w:keepLines w:val="0"/>
        <w:pageBreakBefore w:val="0"/>
        <w:widowControl w:val="0"/>
        <w:kinsoku/>
        <w:wordWrap/>
        <w:overflowPunct/>
        <w:topLinePunct w:val="0"/>
        <w:autoSpaceDE/>
        <w:autoSpaceDN/>
        <w:bidi w:val="0"/>
        <w:adjustRightInd/>
        <w:snapToGrid/>
        <w:spacing w:beforeLines="0" w:afterLines="0"/>
        <w:ind w:firstLine="0"/>
        <w:textAlignment w:val="auto"/>
        <w:rPr>
          <w:rFonts w:hint="eastAsia" w:ascii="宋体" w:eastAsia="宋体"/>
          <w:highlight w:val="none"/>
          <w:lang w:val="en-US" w:eastAsia="zh-CN"/>
        </w:rPr>
      </w:pPr>
      <w:r>
        <w:rPr>
          <w:rFonts w:hint="eastAsia" w:ascii="宋体" w:eastAsia="宋体"/>
          <w:highlight w:val="none"/>
          <w:lang w:val="en-US" w:eastAsia="zh-CN"/>
        </w:rPr>
        <w:t>外部专家参与日常检查时，也应履行检查人员义务，遵守行为规范，并接受监督。</w:t>
      </w:r>
    </w:p>
    <w:p w14:paraId="75F9D325">
      <w:pPr>
        <w:pStyle w:val="39"/>
        <w:spacing w:before="312" w:after="312"/>
        <w:outlineLvl w:val="0"/>
        <w:rPr>
          <w:rFonts w:hint="default" w:cs="Times New Roman"/>
          <w:sz w:val="21"/>
          <w:szCs w:val="21"/>
          <w:highlight w:val="none"/>
          <w:lang w:val="en-US" w:eastAsia="zh-CN" w:bidi="ar-SA"/>
        </w:rPr>
      </w:pPr>
      <w:bookmarkStart w:id="67" w:name="_Toc7207"/>
      <w:r>
        <w:rPr>
          <w:rFonts w:hint="eastAsia" w:cs="Times New Roman"/>
          <w:sz w:val="21"/>
          <w:szCs w:val="21"/>
          <w:highlight w:val="none"/>
          <w:lang w:val="en-US" w:eastAsia="zh-CN" w:bidi="ar-SA"/>
        </w:rPr>
        <w:t>检查实施</w:t>
      </w:r>
      <w:bookmarkEnd w:id="67"/>
    </w:p>
    <w:p w14:paraId="742DAFB6">
      <w:pPr>
        <w:pStyle w:val="41"/>
        <w:rPr>
          <w:rFonts w:hint="default"/>
          <w:lang w:val="en-US" w:eastAsia="zh-CN"/>
        </w:rPr>
      </w:pPr>
      <w:r>
        <w:rPr>
          <w:rFonts w:hint="eastAsia" w:cs="Times New Roman"/>
          <w:sz w:val="21"/>
          <w:szCs w:val="21"/>
          <w:highlight w:val="none"/>
          <w:lang w:val="en-US" w:eastAsia="zh-CN" w:bidi="ar-SA"/>
        </w:rPr>
        <w:t>检查双方要求</w:t>
      </w:r>
    </w:p>
    <w:p w14:paraId="6159B749">
      <w:pPr>
        <w:pStyle w:val="37"/>
        <w:bidi w:val="0"/>
        <w:ind w:left="0" w:leftChars="0" w:firstLine="0" w:firstLineChars="0"/>
        <w:rPr>
          <w:rFonts w:hint="default"/>
          <w:lang w:val="en-US" w:eastAsia="zh-CN"/>
        </w:rPr>
      </w:pPr>
      <w:bookmarkStart w:id="68" w:name="_Toc13677"/>
      <w:r>
        <w:rPr>
          <w:rFonts w:hint="eastAsia"/>
          <w:lang w:val="en-US" w:eastAsia="zh-CN"/>
        </w:rPr>
        <w:t>监管方</w:t>
      </w:r>
      <w:bookmarkEnd w:id="68"/>
      <w:r>
        <w:rPr>
          <w:rFonts w:hint="eastAsia"/>
          <w:lang w:val="en-US" w:eastAsia="zh-CN"/>
        </w:rPr>
        <w:t>工作原则</w:t>
      </w:r>
    </w:p>
    <w:p w14:paraId="74A8EA8B">
      <w:pPr>
        <w:pStyle w:val="36"/>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default" w:ascii="宋体" w:hAnsi="宋体" w:eastAsia="宋体" w:cs="宋体"/>
          <w:kern w:val="0"/>
          <w:sz w:val="21"/>
          <w:szCs w:val="21"/>
          <w:lang w:val="en-US" w:eastAsia="zh-CN" w:bidi="ar"/>
        </w:rPr>
      </w:pPr>
      <w:bookmarkStart w:id="69" w:name="_Toc611538061"/>
      <w:r>
        <w:rPr>
          <w:rFonts w:hint="eastAsia" w:ascii="宋体" w:hAnsi="宋体" w:eastAsia="宋体" w:cs="宋体"/>
          <w:kern w:val="0"/>
          <w:sz w:val="21"/>
          <w:szCs w:val="21"/>
          <w:lang w:val="en-US" w:eastAsia="zh-CN" w:bidi="ar"/>
        </w:rPr>
        <w:t>循证决策。以取证为前提，基于被检查单位的产品、管理和运行的实际情况，结合检查评价标准，对检查结果进行公正评价与客观判定。</w:t>
      </w:r>
      <w:bookmarkEnd w:id="69"/>
    </w:p>
    <w:p w14:paraId="6D078C89">
      <w:pPr>
        <w:pStyle w:val="36"/>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eastAsia" w:ascii="宋体" w:hAnsi="宋体" w:eastAsia="宋体" w:cs="宋体"/>
          <w:kern w:val="0"/>
          <w:sz w:val="21"/>
          <w:szCs w:val="21"/>
          <w:lang w:val="en-US" w:eastAsia="zh-CN" w:bidi="ar"/>
        </w:rPr>
      </w:pPr>
      <w:bookmarkStart w:id="70" w:name="_Toc263456685"/>
      <w:r>
        <w:rPr>
          <w:rFonts w:hint="eastAsia" w:ascii="宋体" w:hAnsi="宋体" w:eastAsia="宋体" w:cs="宋体"/>
          <w:kern w:val="0"/>
          <w:sz w:val="21"/>
          <w:szCs w:val="21"/>
          <w:lang w:val="en-US" w:eastAsia="zh-CN" w:bidi="ar"/>
        </w:rPr>
        <w:t>说理式执法。惩戒与教育相结合，坚持法定原则全面准确地援引法条；按收集证据来说清违法事实，按时间顺序来说清案件过程，按证据特性来说清证据应用。</w:t>
      </w:r>
    </w:p>
    <w:p w14:paraId="33852836">
      <w:pPr>
        <w:pStyle w:val="36"/>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救济原则。尊重被检查单位的合法权益，保证其行使陈述、申辩、复议诉讼等方面的权利。</w:t>
      </w:r>
      <w:bookmarkEnd w:id="70"/>
    </w:p>
    <w:p w14:paraId="2F450E86">
      <w:pPr>
        <w:pStyle w:val="36"/>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eastAsia" w:ascii="宋体" w:hAnsi="宋体" w:eastAsia="宋体" w:cs="宋体"/>
          <w:kern w:val="0"/>
          <w:sz w:val="21"/>
          <w:szCs w:val="21"/>
          <w:lang w:val="en-US" w:eastAsia="zh-CN" w:bidi="ar"/>
        </w:rPr>
      </w:pPr>
      <w:bookmarkStart w:id="71" w:name="_Toc1952708328"/>
      <w:r>
        <w:rPr>
          <w:rFonts w:hint="eastAsia" w:ascii="宋体" w:hAnsi="宋体" w:eastAsia="宋体" w:cs="宋体"/>
          <w:kern w:val="0"/>
          <w:sz w:val="21"/>
          <w:szCs w:val="21"/>
          <w:lang w:val="en-US" w:eastAsia="zh-CN" w:bidi="ar"/>
        </w:rPr>
        <w:t>保密原则。应依法对日常检查工作涉及的国家秘密、被检查单位商业秘密、个人隐私及依法依规不适合公开的情形进行保密。</w:t>
      </w:r>
      <w:bookmarkEnd w:id="71"/>
    </w:p>
    <w:p w14:paraId="63159C3C">
      <w:pPr>
        <w:pStyle w:val="37"/>
        <w:bidi w:val="0"/>
        <w:ind w:left="0" w:leftChars="0" w:firstLine="0" w:firstLineChars="0"/>
        <w:rPr>
          <w:rFonts w:hint="default"/>
          <w:szCs w:val="21"/>
          <w:lang w:val="en-US" w:eastAsia="zh-CN"/>
        </w:rPr>
      </w:pPr>
      <w:bookmarkStart w:id="72" w:name="_Toc4835"/>
      <w:r>
        <w:rPr>
          <w:rFonts w:hint="eastAsia"/>
          <w:szCs w:val="21"/>
          <w:lang w:val="en-US" w:eastAsia="zh-CN"/>
        </w:rPr>
        <w:t>被检查单位义务</w:t>
      </w:r>
      <w:bookmarkEnd w:id="72"/>
    </w:p>
    <w:p w14:paraId="5C7C621C">
      <w:pPr>
        <w:pStyle w:val="36"/>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default" w:ascii="宋体" w:hAnsi="宋体" w:eastAsia="宋体" w:cs="宋体"/>
          <w:kern w:val="0"/>
          <w:sz w:val="21"/>
          <w:szCs w:val="21"/>
          <w:lang w:val="en-US" w:eastAsia="zh-CN" w:bidi="ar"/>
        </w:rPr>
      </w:pPr>
      <w:bookmarkStart w:id="73" w:name="_Toc759909374"/>
      <w:r>
        <w:rPr>
          <w:rFonts w:hint="eastAsia" w:ascii="宋体" w:hAnsi="宋体" w:eastAsia="宋体" w:cs="宋体"/>
          <w:kern w:val="0"/>
          <w:sz w:val="21"/>
          <w:szCs w:val="21"/>
          <w:lang w:val="en-US" w:eastAsia="zh-CN" w:bidi="ar"/>
        </w:rPr>
        <w:t>合规义务。应按法规、标准、行业质量管理规范组织生产经营。</w:t>
      </w:r>
      <w:bookmarkEnd w:id="73"/>
    </w:p>
    <w:p w14:paraId="2FF8D964">
      <w:pPr>
        <w:pStyle w:val="36"/>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eastAsia" w:ascii="宋体" w:hAnsi="宋体" w:eastAsia="宋体" w:cs="宋体"/>
          <w:kern w:val="0"/>
          <w:sz w:val="21"/>
          <w:szCs w:val="21"/>
          <w:lang w:val="en-US" w:eastAsia="zh-CN" w:bidi="ar"/>
        </w:rPr>
      </w:pPr>
      <w:bookmarkStart w:id="74" w:name="_Toc711600109"/>
      <w:r>
        <w:rPr>
          <w:rFonts w:hint="eastAsia" w:ascii="宋体" w:hAnsi="宋体" w:eastAsia="宋体" w:cs="宋体"/>
          <w:kern w:val="0"/>
          <w:sz w:val="21"/>
          <w:szCs w:val="21"/>
          <w:lang w:val="en-US" w:eastAsia="zh-CN" w:bidi="ar"/>
        </w:rPr>
        <w:t>配合义务。应配合监管部门开展日常检查工作，提供真实完整准确的资料，不得拒绝和隐瞒、无故拖延阻挠、干扰检查取证，影响检查进度。</w:t>
      </w:r>
      <w:bookmarkEnd w:id="74"/>
    </w:p>
    <w:p w14:paraId="567036B5">
      <w:pPr>
        <w:pStyle w:val="36"/>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eastAsia" w:ascii="宋体" w:hAnsi="宋体" w:eastAsia="宋体" w:cs="宋体"/>
          <w:kern w:val="0"/>
          <w:sz w:val="21"/>
          <w:szCs w:val="21"/>
          <w:lang w:val="en-US" w:eastAsia="zh-CN" w:bidi="ar"/>
        </w:rPr>
      </w:pPr>
      <w:bookmarkStart w:id="75" w:name="_Toc526601820"/>
      <w:r>
        <w:rPr>
          <w:rFonts w:hint="eastAsia" w:ascii="宋体" w:hAnsi="宋体" w:eastAsia="宋体" w:cs="宋体"/>
          <w:kern w:val="0"/>
          <w:sz w:val="21"/>
          <w:szCs w:val="21"/>
          <w:lang w:val="en-US" w:eastAsia="zh-CN" w:bidi="ar"/>
        </w:rPr>
        <w:t>保密义务。应对日常检查工作现场开展情况进行保密，未经允许不得进行相关的宣传，不得恶意传播易引起公众误解的信息。</w:t>
      </w:r>
      <w:bookmarkEnd w:id="75"/>
    </w:p>
    <w:p w14:paraId="253C9044">
      <w:pPr>
        <w:pStyle w:val="41"/>
        <w:rPr>
          <w:rFonts w:hint="default"/>
          <w:lang w:val="en-US" w:eastAsia="zh-CN"/>
        </w:rPr>
      </w:pPr>
      <w:r>
        <w:rPr>
          <w:rFonts w:hint="eastAsia"/>
          <w:lang w:val="en-US" w:eastAsia="zh-CN"/>
        </w:rPr>
        <w:t>日常检查</w:t>
      </w:r>
    </w:p>
    <w:p w14:paraId="6D320199">
      <w:pPr>
        <w:pStyle w:val="37"/>
        <w:keepNext w:val="0"/>
        <w:keepLines w:val="0"/>
        <w:pageBreakBefore w:val="0"/>
        <w:widowControl w:val="0"/>
        <w:kinsoku/>
        <w:wordWrap/>
        <w:overflowPunct/>
        <w:topLinePunct w:val="0"/>
        <w:autoSpaceDE/>
        <w:autoSpaceDN/>
        <w:bidi w:val="0"/>
        <w:adjustRightInd/>
        <w:snapToGrid/>
        <w:spacing w:beforeLines="0" w:afterLines="0"/>
        <w:ind w:firstLine="0" w:firstLineChars="0"/>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应根据企业分级分类监管情况和信用风险等级部署日常检查，以法规符合性为主，兼顾规范符合性。</w:t>
      </w:r>
    </w:p>
    <w:p w14:paraId="006D0142">
      <w:pPr>
        <w:pStyle w:val="37"/>
        <w:keepNext w:val="0"/>
        <w:keepLines w:val="0"/>
        <w:pageBreakBefore w:val="0"/>
        <w:widowControl w:val="0"/>
        <w:kinsoku/>
        <w:wordWrap/>
        <w:overflowPunct/>
        <w:topLinePunct w:val="0"/>
        <w:autoSpaceDE/>
        <w:autoSpaceDN/>
        <w:bidi w:val="0"/>
        <w:adjustRightInd/>
        <w:snapToGrid/>
        <w:spacing w:beforeLines="0" w:afterLines="0"/>
        <w:ind w:firstLine="0" w:firstLineChars="0"/>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应结合上一年度的检查情况、本年度实际检查需要及上级部门的检查要求，统筹制定年度日常检查计划。</w:t>
      </w:r>
    </w:p>
    <w:p w14:paraId="2DD49527">
      <w:pPr>
        <w:pStyle w:val="37"/>
        <w:keepNext w:val="0"/>
        <w:keepLines w:val="0"/>
        <w:pageBreakBefore w:val="0"/>
        <w:widowControl w:val="0"/>
        <w:kinsoku/>
        <w:wordWrap/>
        <w:overflowPunct/>
        <w:topLinePunct w:val="0"/>
        <w:autoSpaceDE/>
        <w:autoSpaceDN/>
        <w:bidi w:val="0"/>
        <w:adjustRightInd/>
        <w:snapToGrid/>
        <w:spacing w:beforeLines="0" w:afterLines="0"/>
        <w:ind w:firstLine="0" w:firstLineChars="0"/>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应结合年度检查计划确定的检查范围与任务量、</w:t>
      </w:r>
      <w:r>
        <w:rPr>
          <w:rFonts w:hint="default" w:ascii="宋体" w:hAnsi="宋体" w:eastAsia="宋体" w:cs="宋体"/>
          <w:kern w:val="0"/>
          <w:sz w:val="21"/>
          <w:szCs w:val="21"/>
          <w:lang w:val="en-US" w:eastAsia="zh-CN" w:bidi="ar"/>
        </w:rPr>
        <w:t>当前工作部署</w:t>
      </w:r>
      <w:r>
        <w:rPr>
          <w:rFonts w:hint="eastAsia" w:ascii="宋体" w:hAnsi="宋体" w:eastAsia="宋体" w:cs="宋体"/>
          <w:kern w:val="0"/>
          <w:sz w:val="21"/>
          <w:szCs w:val="21"/>
          <w:lang w:val="en-US" w:eastAsia="zh-CN" w:bidi="ar"/>
        </w:rPr>
        <w:t>，统筹分解工作任务，合理安排周检查计划。应结合重大风险及应急处置事项，动态调整周检查计划。</w:t>
      </w:r>
    </w:p>
    <w:p w14:paraId="61BF24C8">
      <w:pPr>
        <w:pStyle w:val="37"/>
        <w:keepNext w:val="0"/>
        <w:keepLines w:val="0"/>
        <w:pageBreakBefore w:val="0"/>
        <w:widowControl w:val="0"/>
        <w:kinsoku/>
        <w:wordWrap/>
        <w:overflowPunct/>
        <w:topLinePunct w:val="0"/>
        <w:autoSpaceDE/>
        <w:autoSpaceDN/>
        <w:bidi w:val="0"/>
        <w:adjustRightInd/>
        <w:snapToGrid/>
        <w:spacing w:beforeLines="0" w:afterLines="0"/>
        <w:ind w:firstLine="0" w:firstLineChars="0"/>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可结合日常检查工作同步开展有因检查及其他监督检查。</w:t>
      </w:r>
    </w:p>
    <w:p w14:paraId="3C0EFFB0">
      <w:pPr>
        <w:pStyle w:val="37"/>
        <w:keepNext w:val="0"/>
        <w:keepLines w:val="0"/>
        <w:pageBreakBefore w:val="0"/>
        <w:widowControl w:val="0"/>
        <w:kinsoku/>
        <w:wordWrap/>
        <w:overflowPunct/>
        <w:topLinePunct w:val="0"/>
        <w:autoSpaceDE/>
        <w:autoSpaceDN/>
        <w:bidi w:val="0"/>
        <w:adjustRightInd/>
        <w:snapToGrid/>
        <w:spacing w:beforeLines="0" w:afterLines="0"/>
        <w:ind w:firstLine="0" w:firstLineChars="0"/>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具体日常检查要求执行《药械化企业日常检查管理规范 第3部分 日常检查》。</w:t>
      </w:r>
    </w:p>
    <w:p w14:paraId="6BA5BD28">
      <w:pPr>
        <w:pStyle w:val="41"/>
        <w:rPr>
          <w:rFonts w:hint="default"/>
          <w:lang w:val="en-US" w:eastAsia="zh-CN"/>
        </w:rPr>
      </w:pPr>
      <w:r>
        <w:rPr>
          <w:rFonts w:hint="eastAsia" w:hAnsi="宋体" w:cs="宋体"/>
          <w:kern w:val="0"/>
          <w:sz w:val="21"/>
          <w:szCs w:val="21"/>
          <w:lang w:val="en-US" w:eastAsia="zh-CN" w:bidi="ar"/>
        </w:rPr>
        <w:t>抽样</w:t>
      </w:r>
    </w:p>
    <w:p w14:paraId="1DFF63EC">
      <w:pPr>
        <w:pStyle w:val="37"/>
        <w:keepNext w:val="0"/>
        <w:keepLines w:val="0"/>
        <w:pageBreakBefore w:val="0"/>
        <w:widowControl w:val="0"/>
        <w:kinsoku/>
        <w:wordWrap/>
        <w:overflowPunct/>
        <w:topLinePunct w:val="0"/>
        <w:autoSpaceDE/>
        <w:autoSpaceDN/>
        <w:bidi w:val="0"/>
        <w:adjustRightInd/>
        <w:snapToGrid/>
        <w:spacing w:beforeLines="0" w:afterLines="0"/>
        <w:ind w:firstLine="0" w:firstLineChars="0"/>
        <w:textAlignment w:val="auto"/>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区域检查分局</w:t>
      </w:r>
      <w:r>
        <w:rPr>
          <w:rFonts w:hint="eastAsia" w:ascii="宋体" w:hAnsi="宋体" w:eastAsia="宋体" w:cs="宋体"/>
          <w:kern w:val="0"/>
          <w:sz w:val="21"/>
          <w:szCs w:val="21"/>
          <w:lang w:val="en-US" w:eastAsia="zh-CN" w:bidi="ar"/>
        </w:rPr>
        <w:t>应</w:t>
      </w:r>
      <w:r>
        <w:rPr>
          <w:rFonts w:hint="default" w:ascii="宋体" w:hAnsi="宋体" w:eastAsia="宋体" w:cs="宋体"/>
          <w:kern w:val="0"/>
          <w:sz w:val="21"/>
          <w:szCs w:val="21"/>
          <w:lang w:val="en-US" w:eastAsia="zh-CN" w:bidi="ar"/>
        </w:rPr>
        <w:t>依据</w:t>
      </w:r>
      <w:r>
        <w:rPr>
          <w:rFonts w:hint="eastAsia" w:ascii="宋体" w:hAnsi="宋体" w:eastAsia="宋体" w:cs="宋体"/>
          <w:kern w:val="0"/>
          <w:sz w:val="21"/>
          <w:szCs w:val="21"/>
          <w:lang w:val="en-US" w:eastAsia="zh-CN" w:bidi="ar"/>
        </w:rPr>
        <w:t>国家局或</w:t>
      </w:r>
      <w:r>
        <w:rPr>
          <w:rFonts w:hint="default" w:ascii="宋体" w:hAnsi="宋体" w:eastAsia="宋体" w:cs="宋体"/>
          <w:kern w:val="0"/>
          <w:sz w:val="21"/>
          <w:szCs w:val="21"/>
          <w:highlight w:val="none"/>
          <w:lang w:val="en-US" w:eastAsia="zh-CN" w:bidi="ar"/>
        </w:rPr>
        <w:t>省局</w:t>
      </w:r>
      <w:r>
        <w:rPr>
          <w:rFonts w:hint="eastAsia" w:ascii="宋体" w:hAnsi="宋体" w:eastAsia="宋体" w:cs="宋体"/>
          <w:kern w:val="0"/>
          <w:sz w:val="21"/>
          <w:szCs w:val="21"/>
          <w:highlight w:val="none"/>
          <w:lang w:val="en-US" w:eastAsia="zh-CN" w:bidi="ar"/>
        </w:rPr>
        <w:t>的监督</w:t>
      </w:r>
      <w:r>
        <w:rPr>
          <w:rFonts w:hint="default" w:ascii="宋体" w:hAnsi="宋体" w:eastAsia="宋体" w:cs="宋体"/>
          <w:kern w:val="0"/>
          <w:sz w:val="21"/>
          <w:szCs w:val="21"/>
          <w:highlight w:val="none"/>
          <w:lang w:val="en-US" w:eastAsia="zh-CN" w:bidi="ar"/>
        </w:rPr>
        <w:t>抽样工作</w:t>
      </w:r>
      <w:r>
        <w:rPr>
          <w:rFonts w:hint="eastAsia" w:ascii="宋体" w:hAnsi="宋体" w:eastAsia="宋体" w:cs="宋体"/>
          <w:kern w:val="0"/>
          <w:sz w:val="21"/>
          <w:szCs w:val="21"/>
          <w:highlight w:val="none"/>
          <w:lang w:val="en-US" w:eastAsia="zh-CN" w:bidi="ar"/>
        </w:rPr>
        <w:t>计划制定抽样方案，可依托日常检查工作同步开展监督检查抽样、稽查执法抽样、</w:t>
      </w:r>
      <w:r>
        <w:rPr>
          <w:rFonts w:hint="eastAsia" w:ascii="宋体" w:hAnsi="宋体" w:eastAsia="宋体" w:cs="宋体"/>
          <w:kern w:val="0"/>
          <w:sz w:val="21"/>
          <w:szCs w:val="21"/>
          <w:lang w:val="en-US" w:eastAsia="zh-CN" w:bidi="ar"/>
        </w:rPr>
        <w:t>应急抽样。</w:t>
      </w:r>
    </w:p>
    <w:p w14:paraId="4D79077F">
      <w:pPr>
        <w:pStyle w:val="37"/>
        <w:keepNext w:val="0"/>
        <w:keepLines w:val="0"/>
        <w:pageBreakBefore w:val="0"/>
        <w:widowControl w:val="0"/>
        <w:kinsoku/>
        <w:wordWrap/>
        <w:overflowPunct/>
        <w:topLinePunct w:val="0"/>
        <w:autoSpaceDE/>
        <w:autoSpaceDN/>
        <w:bidi w:val="0"/>
        <w:adjustRightInd/>
        <w:snapToGrid/>
        <w:spacing w:beforeLines="0" w:afterLines="0"/>
        <w:ind w:firstLine="0" w:firstLineChars="0"/>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落实监检结合，监督检查与监督抽检一体推进、一并开展，</w:t>
      </w:r>
      <w:bookmarkStart w:id="94" w:name="_GoBack"/>
      <w:bookmarkEnd w:id="94"/>
      <w:r>
        <w:rPr>
          <w:rFonts w:hint="eastAsia" w:ascii="宋体" w:hAnsi="宋体" w:eastAsia="宋体" w:cs="宋体"/>
          <w:kern w:val="0"/>
          <w:sz w:val="21"/>
          <w:szCs w:val="21"/>
          <w:lang w:val="en-US" w:eastAsia="zh-CN" w:bidi="ar"/>
        </w:rPr>
        <w:t>增加抽检工作的靶向性。</w:t>
      </w:r>
    </w:p>
    <w:p w14:paraId="08066942">
      <w:pPr>
        <w:pStyle w:val="37"/>
        <w:keepNext w:val="0"/>
        <w:keepLines w:val="0"/>
        <w:pageBreakBefore w:val="0"/>
        <w:widowControl w:val="0"/>
        <w:kinsoku/>
        <w:wordWrap/>
        <w:overflowPunct/>
        <w:topLinePunct w:val="0"/>
        <w:autoSpaceDE/>
        <w:autoSpaceDN/>
        <w:bidi w:val="0"/>
        <w:adjustRightInd/>
        <w:snapToGrid/>
        <w:spacing w:beforeLines="0" w:afterLines="0"/>
        <w:ind w:firstLine="0" w:firstLineChars="0"/>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统筹安排监督抽检计划，动态调整日常检查抽样工作安排，保证被抽样单位及产品具有覆盖性和代表性，避免样品浪费与重复抽样。</w:t>
      </w:r>
    </w:p>
    <w:p w14:paraId="13B6B232">
      <w:pPr>
        <w:pStyle w:val="37"/>
        <w:keepNext w:val="0"/>
        <w:keepLines w:val="0"/>
        <w:pageBreakBefore w:val="0"/>
        <w:widowControl w:val="0"/>
        <w:kinsoku/>
        <w:wordWrap/>
        <w:overflowPunct/>
        <w:topLinePunct w:val="0"/>
        <w:autoSpaceDE/>
        <w:autoSpaceDN/>
        <w:bidi w:val="0"/>
        <w:adjustRightInd/>
        <w:snapToGrid/>
        <w:spacing w:beforeLines="0" w:afterLines="0"/>
        <w:ind w:firstLine="0" w:firstLineChars="0"/>
        <w:textAlignment w:val="auto"/>
        <w:rPr>
          <w:rFonts w:hint="default"/>
          <w:lang w:val="en-US" w:eastAsia="zh-CN"/>
        </w:rPr>
      </w:pPr>
      <w:r>
        <w:rPr>
          <w:rFonts w:hint="eastAsia" w:ascii="宋体" w:hAnsi="宋体" w:eastAsia="宋体" w:cs="宋体"/>
          <w:kern w:val="0"/>
          <w:sz w:val="21"/>
          <w:szCs w:val="21"/>
          <w:lang w:val="en-US" w:eastAsia="zh-CN" w:bidi="ar"/>
        </w:rPr>
        <w:t>建立有效沟通机制，确保抽样相关要求与信息在检查机构、承检机构及被抽样单位间达成共识。</w:t>
      </w:r>
    </w:p>
    <w:p w14:paraId="4F87328E">
      <w:pPr>
        <w:pStyle w:val="37"/>
        <w:keepNext w:val="0"/>
        <w:keepLines w:val="0"/>
        <w:pageBreakBefore w:val="0"/>
        <w:widowControl w:val="0"/>
        <w:kinsoku/>
        <w:wordWrap/>
        <w:overflowPunct/>
        <w:topLinePunct w:val="0"/>
        <w:autoSpaceDE/>
        <w:autoSpaceDN/>
        <w:bidi w:val="0"/>
        <w:adjustRightInd/>
        <w:snapToGrid/>
        <w:spacing w:beforeLines="0" w:afterLines="0"/>
        <w:ind w:firstLine="0" w:firstLineChars="0"/>
        <w:textAlignment w:val="auto"/>
        <w:rPr>
          <w:rFonts w:hint="default"/>
          <w:lang w:val="en-US" w:eastAsia="zh-CN"/>
        </w:rPr>
      </w:pPr>
      <w:r>
        <w:rPr>
          <w:rFonts w:hint="eastAsia" w:ascii="宋体" w:hAnsi="宋体" w:eastAsia="宋体" w:cs="宋体"/>
          <w:kern w:val="0"/>
          <w:sz w:val="21"/>
          <w:szCs w:val="21"/>
          <w:lang w:val="en-US" w:eastAsia="zh-CN" w:bidi="ar"/>
        </w:rPr>
        <w:t>具体抽样要求执行</w:t>
      </w:r>
      <w:r>
        <w:rPr>
          <w:rFonts w:hint="eastAsia" w:ascii="宋体" w:hAnsi="宋体" w:eastAsia="宋体" w:cs="宋体"/>
          <w:kern w:val="0"/>
          <w:sz w:val="21"/>
          <w:szCs w:val="21"/>
          <w:highlight w:val="none"/>
          <w:lang w:val="en-US" w:eastAsia="zh-CN" w:bidi="ar"/>
        </w:rPr>
        <w:t>《药械化企业日常检查管理规范 第4部分 抽样》。</w:t>
      </w:r>
    </w:p>
    <w:p w14:paraId="03F43F39">
      <w:pPr>
        <w:pStyle w:val="39"/>
        <w:spacing w:before="312" w:after="312"/>
        <w:outlineLvl w:val="0"/>
        <w:rPr>
          <w:rFonts w:hint="eastAsia" w:ascii="宋体" w:hAnsi="宋体" w:eastAsia="宋体" w:cs="宋体"/>
          <w:lang w:val="en-US" w:eastAsia="zh-CN"/>
        </w:rPr>
      </w:pPr>
      <w:bookmarkStart w:id="76" w:name="_Toc32550"/>
      <w:bookmarkStart w:id="77" w:name="_Toc6979"/>
      <w:r>
        <w:rPr>
          <w:rFonts w:hint="eastAsia"/>
          <w:szCs w:val="21"/>
          <w:lang w:val="en-US" w:eastAsia="zh-CN"/>
        </w:rPr>
        <w:t>督察</w:t>
      </w:r>
      <w:bookmarkEnd w:id="76"/>
      <w:bookmarkStart w:id="78" w:name="_Toc1116154420"/>
      <w:bookmarkStart w:id="79" w:name="_Toc4276"/>
      <w:r>
        <w:rPr>
          <w:rFonts w:hint="eastAsia"/>
          <w:szCs w:val="21"/>
          <w:lang w:val="en-US" w:eastAsia="zh-CN"/>
        </w:rPr>
        <w:t>监控</w:t>
      </w:r>
      <w:bookmarkEnd w:id="77"/>
    </w:p>
    <w:p w14:paraId="42EA6FB8">
      <w:pPr>
        <w:pStyle w:val="41"/>
        <w:outlineLvl w:val="0"/>
        <w:rPr>
          <w:rFonts w:hint="eastAsia" w:ascii="黑体" w:hAnsi="Times New Roman" w:eastAsia="黑体" w:cs="Times New Roman"/>
          <w:sz w:val="21"/>
          <w:szCs w:val="21"/>
          <w:lang w:val="en-US" w:eastAsia="zh-CN" w:bidi="ar-SA"/>
        </w:rPr>
      </w:pPr>
      <w:bookmarkStart w:id="80" w:name="_Toc2557"/>
      <w:bookmarkStart w:id="81" w:name="_Toc23491"/>
      <w:r>
        <w:rPr>
          <w:rFonts w:hint="eastAsia" w:ascii="黑体" w:hAnsi="Times New Roman" w:eastAsia="黑体" w:cs="Times New Roman"/>
          <w:sz w:val="21"/>
          <w:szCs w:val="21"/>
          <w:lang w:val="en-US" w:eastAsia="zh-CN" w:bidi="ar-SA"/>
        </w:rPr>
        <w:t>督察回访</w:t>
      </w:r>
      <w:bookmarkEnd w:id="80"/>
      <w:bookmarkEnd w:id="81"/>
    </w:p>
    <w:p w14:paraId="59096EC6">
      <w:pPr>
        <w:pStyle w:val="37"/>
        <w:keepNext w:val="0"/>
        <w:keepLines w:val="0"/>
        <w:pageBreakBefore w:val="0"/>
        <w:widowControl w:val="0"/>
        <w:kinsoku/>
        <w:wordWrap/>
        <w:overflowPunct/>
        <w:topLinePunct w:val="0"/>
        <w:autoSpaceDE/>
        <w:autoSpaceDN/>
        <w:bidi w:val="0"/>
        <w:adjustRightInd/>
        <w:snapToGrid/>
        <w:spacing w:beforeLines="0" w:afterLines="0"/>
        <w:ind w:firstLine="0"/>
        <w:textAlignment w:val="auto"/>
        <w:rPr>
          <w:rFonts w:hint="eastAsia" w:ascii="宋体" w:eastAsia="宋体"/>
          <w:highlight w:val="none"/>
          <w:lang w:val="en-US" w:eastAsia="zh-CN"/>
        </w:rPr>
      </w:pPr>
      <w:r>
        <w:rPr>
          <w:rFonts w:hint="eastAsia" w:ascii="宋体" w:eastAsia="宋体"/>
          <w:highlight w:val="none"/>
          <w:lang w:val="en-US" w:eastAsia="zh-CN"/>
        </w:rPr>
        <w:t>建立督察回访制度，派出检查机构应检查抽调政治素质高、原则性强、公道正派人员组成督察回访小组开展督查回访工作，</w:t>
      </w:r>
      <w:r>
        <w:rPr>
          <w:rFonts w:hint="eastAsia" w:ascii="宋体" w:hAnsi="宋体" w:eastAsia="宋体" w:cs="宋体"/>
          <w:lang w:val="en-US" w:eastAsia="zh-CN"/>
        </w:rPr>
        <w:t>及时了解日常检查工作开展情况</w:t>
      </w:r>
      <w:r>
        <w:rPr>
          <w:rFonts w:hint="eastAsia" w:ascii="宋体" w:eastAsia="宋体"/>
          <w:highlight w:val="none"/>
          <w:lang w:val="en-US" w:eastAsia="zh-CN"/>
        </w:rPr>
        <w:t>。</w:t>
      </w:r>
    </w:p>
    <w:bookmarkEnd w:id="78"/>
    <w:bookmarkEnd w:id="79"/>
    <w:p w14:paraId="36E7C157">
      <w:pPr>
        <w:pStyle w:val="37"/>
        <w:keepNext w:val="0"/>
        <w:keepLines w:val="0"/>
        <w:pageBreakBefore w:val="0"/>
        <w:widowControl w:val="0"/>
        <w:kinsoku/>
        <w:wordWrap/>
        <w:overflowPunct/>
        <w:topLinePunct w:val="0"/>
        <w:autoSpaceDE/>
        <w:autoSpaceDN/>
        <w:bidi w:val="0"/>
        <w:adjustRightInd/>
        <w:snapToGrid/>
        <w:spacing w:beforeLines="0" w:afterLines="0"/>
        <w:ind w:firstLine="0"/>
        <w:textAlignment w:val="auto"/>
        <w:rPr>
          <w:rFonts w:hint="eastAsia" w:ascii="宋体" w:hAnsi="宋体" w:eastAsia="宋体" w:cs="宋体"/>
          <w:lang w:val="en-US" w:eastAsia="zh-CN"/>
        </w:rPr>
      </w:pPr>
      <w:bookmarkStart w:id="82" w:name="_Toc31475"/>
      <w:bookmarkStart w:id="83" w:name="_Toc937680395"/>
      <w:r>
        <w:rPr>
          <w:rFonts w:hint="eastAsia" w:ascii="宋体" w:hAnsi="宋体" w:eastAsia="宋体" w:cs="宋体"/>
          <w:lang w:val="en-US" w:eastAsia="zh-CN"/>
        </w:rPr>
        <w:t>督察回访方式包括电话督察回访、信函督察回访和上门督察回访，必要时，组合不同方式实施。</w:t>
      </w:r>
      <w:bookmarkEnd w:id="82"/>
      <w:bookmarkEnd w:id="83"/>
    </w:p>
    <w:p w14:paraId="0BFD418B">
      <w:pPr>
        <w:pStyle w:val="37"/>
        <w:keepNext w:val="0"/>
        <w:keepLines w:val="0"/>
        <w:pageBreakBefore w:val="0"/>
        <w:widowControl w:val="0"/>
        <w:kinsoku/>
        <w:wordWrap/>
        <w:overflowPunct/>
        <w:topLinePunct w:val="0"/>
        <w:autoSpaceDE/>
        <w:autoSpaceDN/>
        <w:bidi w:val="0"/>
        <w:adjustRightInd/>
        <w:snapToGrid/>
        <w:spacing w:beforeLines="0" w:afterLines="0"/>
        <w:ind w:firstLine="0"/>
        <w:textAlignment w:val="auto"/>
        <w:rPr>
          <w:rFonts w:hint="eastAsia" w:ascii="宋体" w:hAnsi="宋体" w:eastAsia="宋体" w:cs="宋体"/>
          <w:lang w:val="en-US" w:eastAsia="zh-CN"/>
        </w:rPr>
      </w:pPr>
      <w:bookmarkStart w:id="84" w:name="_Toc56031058"/>
      <w:r>
        <w:rPr>
          <w:rFonts w:hint="eastAsia" w:ascii="宋体" w:hAnsi="宋体" w:eastAsia="宋体" w:cs="宋体"/>
          <w:lang w:val="en-US" w:eastAsia="zh-CN"/>
        </w:rPr>
        <w:t>督察回访内容包括但不限于：</w:t>
      </w:r>
    </w:p>
    <w:p w14:paraId="06FB52B4">
      <w:pPr>
        <w:pStyle w:val="38"/>
        <w:keepNext w:val="0"/>
        <w:keepLines w:val="0"/>
        <w:pageBreakBefore w:val="0"/>
        <w:widowControl/>
        <w:numPr>
          <w:ilvl w:val="0"/>
          <w:numId w:val="34"/>
        </w:numPr>
        <w:kinsoku/>
        <w:wordWrap/>
        <w:overflowPunct/>
        <w:topLinePunct w:val="0"/>
        <w:bidi w:val="0"/>
        <w:adjustRightInd/>
        <w:snapToGrid/>
        <w:ind w:firstLine="0" w:firstLineChars="0"/>
        <w:textAlignment w:val="auto"/>
        <w:rPr>
          <w:rFonts w:hint="eastAsia" w:ascii="宋体" w:hAnsi="宋体" w:eastAsia="宋体" w:cs="宋体"/>
          <w:sz w:val="21"/>
          <w:lang w:val="en-US" w:eastAsia="zh-CN" w:bidi="ar-SA"/>
        </w:rPr>
      </w:pPr>
      <w:r>
        <w:rPr>
          <w:rFonts w:hint="eastAsia" w:hAnsi="宋体" w:cs="宋体"/>
          <w:lang w:val="en-US" w:eastAsia="zh-CN"/>
        </w:rPr>
        <w:t>检查人员行为规范</w:t>
      </w:r>
      <w:r>
        <w:rPr>
          <w:rFonts w:hint="eastAsia" w:ascii="宋体" w:hAnsi="宋体" w:eastAsia="宋体" w:cs="宋体"/>
          <w:sz w:val="21"/>
          <w:lang w:val="en-US" w:eastAsia="zh-CN" w:bidi="ar-SA"/>
        </w:rPr>
        <w:t>性</w:t>
      </w:r>
      <w:r>
        <w:rPr>
          <w:rFonts w:hint="eastAsia" w:hAnsi="宋体" w:cs="宋体"/>
          <w:sz w:val="21"/>
          <w:lang w:val="en-US" w:eastAsia="zh-CN" w:bidi="ar-SA"/>
        </w:rPr>
        <w:t>。</w:t>
      </w:r>
      <w:r>
        <w:rPr>
          <w:rFonts w:hint="eastAsia" w:ascii="宋体" w:hAnsi="宋体" w:eastAsia="宋体" w:cs="宋体"/>
          <w:sz w:val="21"/>
          <w:lang w:val="en-US" w:eastAsia="zh-CN" w:bidi="ar-SA"/>
        </w:rPr>
        <w:t>了解是否存在企业（单位）车辆接送、收受礼品礼金、收受有价证券、收受土特产、违规接受企业（单位）宴请及其他不规范行为；</w:t>
      </w:r>
    </w:p>
    <w:p w14:paraId="26AD4AEB">
      <w:pPr>
        <w:pStyle w:val="38"/>
        <w:keepNext w:val="0"/>
        <w:keepLines w:val="0"/>
        <w:pageBreakBefore w:val="0"/>
        <w:widowControl/>
        <w:numPr>
          <w:ilvl w:val="0"/>
          <w:numId w:val="34"/>
        </w:numPr>
        <w:kinsoku/>
        <w:wordWrap/>
        <w:overflowPunct/>
        <w:topLinePunct w:val="0"/>
        <w:bidi w:val="0"/>
        <w:adjustRightInd/>
        <w:snapToGrid/>
        <w:ind w:firstLine="0" w:firstLineChars="0"/>
        <w:textAlignment w:val="auto"/>
        <w:rPr>
          <w:rFonts w:hint="eastAsia" w:ascii="宋体" w:hAnsi="宋体" w:eastAsia="宋体" w:cs="宋体"/>
          <w:sz w:val="21"/>
          <w:lang w:val="en-US" w:eastAsia="zh-CN" w:bidi="ar-SA"/>
        </w:rPr>
      </w:pPr>
      <w:r>
        <w:rPr>
          <w:rFonts w:hint="eastAsia" w:ascii="宋体" w:hAnsi="宋体" w:eastAsia="宋体" w:cs="宋体"/>
          <w:sz w:val="21"/>
          <w:lang w:val="en-US" w:eastAsia="zh-CN" w:bidi="ar-SA"/>
        </w:rPr>
        <w:t>检查工作实效</w:t>
      </w:r>
      <w:r>
        <w:rPr>
          <w:rFonts w:hint="eastAsia" w:hAnsi="宋体" w:cs="宋体"/>
          <w:sz w:val="21"/>
          <w:lang w:val="en-US" w:eastAsia="zh-CN" w:bidi="ar-SA"/>
        </w:rPr>
        <w:t>。</w:t>
      </w:r>
      <w:r>
        <w:rPr>
          <w:rFonts w:hint="eastAsia" w:ascii="宋体" w:hAnsi="宋体" w:eastAsia="宋体" w:cs="宋体"/>
          <w:sz w:val="21"/>
          <w:lang w:val="en-US" w:eastAsia="zh-CN" w:bidi="ar-SA"/>
        </w:rPr>
        <w:t>了解检查工作程序是否合规，是否存在走过场或流于形式的情况；</w:t>
      </w:r>
    </w:p>
    <w:p w14:paraId="653CD550">
      <w:pPr>
        <w:pStyle w:val="38"/>
        <w:keepNext w:val="0"/>
        <w:keepLines w:val="0"/>
        <w:pageBreakBefore w:val="0"/>
        <w:widowControl/>
        <w:numPr>
          <w:ilvl w:val="0"/>
          <w:numId w:val="34"/>
        </w:numPr>
        <w:kinsoku/>
        <w:wordWrap/>
        <w:overflowPunct/>
        <w:topLinePunct w:val="0"/>
        <w:bidi w:val="0"/>
        <w:adjustRightInd/>
        <w:snapToGrid/>
        <w:ind w:firstLine="0" w:firstLineChars="0"/>
        <w:textAlignment w:val="auto"/>
        <w:rPr>
          <w:rFonts w:hint="eastAsia" w:ascii="宋体" w:hAnsi="宋体" w:eastAsia="宋体" w:cs="宋体"/>
          <w:sz w:val="21"/>
          <w:lang w:val="en-US" w:eastAsia="zh-CN" w:bidi="ar-SA"/>
        </w:rPr>
      </w:pPr>
      <w:r>
        <w:rPr>
          <w:rFonts w:hint="eastAsia" w:ascii="宋体" w:hAnsi="宋体" w:eastAsia="宋体" w:cs="宋体"/>
          <w:sz w:val="21"/>
          <w:lang w:val="en-US" w:eastAsia="zh-CN" w:bidi="ar-SA"/>
        </w:rPr>
        <w:t>征询监管工作建议</w:t>
      </w:r>
      <w:r>
        <w:rPr>
          <w:rFonts w:hint="eastAsia" w:hAnsi="宋体" w:cs="宋体"/>
          <w:sz w:val="21"/>
          <w:lang w:val="en-US" w:eastAsia="zh-CN" w:bidi="ar-SA"/>
        </w:rPr>
        <w:t>。</w:t>
      </w:r>
      <w:r>
        <w:rPr>
          <w:rFonts w:hint="eastAsia" w:ascii="宋体" w:hAnsi="宋体" w:eastAsia="宋体" w:cs="宋体"/>
          <w:sz w:val="21"/>
          <w:lang w:val="en-US" w:eastAsia="zh-CN" w:bidi="ar-SA"/>
        </w:rPr>
        <w:t>了解被检查单位对</w:t>
      </w:r>
      <w:r>
        <w:rPr>
          <w:rFonts w:hint="eastAsia" w:hAnsi="宋体" w:cs="宋体"/>
          <w:sz w:val="21"/>
          <w:lang w:val="en-US" w:eastAsia="zh-CN" w:bidi="ar-SA"/>
        </w:rPr>
        <w:t>派</w:t>
      </w:r>
      <w:r>
        <w:rPr>
          <w:rFonts w:hint="eastAsia" w:ascii="宋体" w:hAnsi="宋体" w:eastAsia="宋体" w:cs="宋体"/>
          <w:sz w:val="21"/>
          <w:lang w:val="en-US" w:eastAsia="zh-CN" w:bidi="ar-SA"/>
        </w:rPr>
        <w:t>出检查机构的工作建议与意见；</w:t>
      </w:r>
    </w:p>
    <w:p w14:paraId="08AA50C8">
      <w:pPr>
        <w:pStyle w:val="38"/>
        <w:keepNext w:val="0"/>
        <w:keepLines w:val="0"/>
        <w:pageBreakBefore w:val="0"/>
        <w:widowControl/>
        <w:numPr>
          <w:ilvl w:val="0"/>
          <w:numId w:val="34"/>
        </w:numPr>
        <w:kinsoku/>
        <w:wordWrap/>
        <w:overflowPunct/>
        <w:topLinePunct w:val="0"/>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sz w:val="21"/>
          <w:lang w:val="en-US" w:eastAsia="zh-CN" w:bidi="ar-SA"/>
        </w:rPr>
        <w:t>检查</w:t>
      </w:r>
      <w:r>
        <w:rPr>
          <w:rFonts w:hint="eastAsia" w:hAnsi="宋体" w:cs="宋体"/>
          <w:sz w:val="21"/>
          <w:lang w:val="en-US" w:eastAsia="zh-CN" w:bidi="ar-SA"/>
        </w:rPr>
        <w:t>后续</w:t>
      </w:r>
      <w:r>
        <w:rPr>
          <w:rFonts w:hint="eastAsia" w:ascii="宋体" w:hAnsi="宋体" w:eastAsia="宋体" w:cs="宋体"/>
          <w:sz w:val="21"/>
          <w:lang w:val="en-US" w:eastAsia="zh-CN" w:bidi="ar-SA"/>
        </w:rPr>
        <w:t>工作推进情况</w:t>
      </w:r>
      <w:r>
        <w:rPr>
          <w:rFonts w:hint="eastAsia" w:hAnsi="宋体" w:cs="宋体"/>
          <w:sz w:val="21"/>
          <w:lang w:val="en-US" w:eastAsia="zh-CN" w:bidi="ar-SA"/>
        </w:rPr>
        <w:t>。</w:t>
      </w:r>
      <w:r>
        <w:rPr>
          <w:rFonts w:hint="eastAsia" w:ascii="宋体" w:hAnsi="宋体" w:eastAsia="宋体" w:cs="宋体"/>
          <w:sz w:val="21"/>
          <w:lang w:val="en-US" w:eastAsia="zh-CN" w:bidi="ar-SA"/>
        </w:rPr>
        <w:t>了解被检查单位问题整改情况及需要帮助解决</w:t>
      </w:r>
      <w:r>
        <w:rPr>
          <w:rFonts w:hint="eastAsia" w:hAnsi="宋体" w:cs="宋体"/>
          <w:sz w:val="21"/>
          <w:lang w:val="en-US" w:eastAsia="zh-CN" w:bidi="ar-SA"/>
        </w:rPr>
        <w:t>的其他</w:t>
      </w:r>
      <w:r>
        <w:rPr>
          <w:rFonts w:hint="eastAsia" w:ascii="宋体" w:hAnsi="宋体" w:eastAsia="宋体" w:cs="宋体"/>
          <w:sz w:val="21"/>
          <w:lang w:val="en-US" w:eastAsia="zh-CN" w:bidi="ar-SA"/>
        </w:rPr>
        <w:t>困难，引导和帮助企业落实主体责任，加强质量管理工作</w:t>
      </w:r>
      <w:r>
        <w:rPr>
          <w:rFonts w:hint="eastAsia" w:hAnsi="宋体" w:cs="宋体"/>
          <w:sz w:val="21"/>
          <w:lang w:val="en-US" w:eastAsia="zh-CN" w:bidi="ar-SA"/>
        </w:rPr>
        <w:t>。</w:t>
      </w:r>
    </w:p>
    <w:p w14:paraId="2704DCE6">
      <w:pPr>
        <w:pStyle w:val="41"/>
        <w:outlineLvl w:val="0"/>
        <w:rPr>
          <w:rFonts w:hint="eastAsia"/>
          <w:lang w:val="en-US" w:eastAsia="zh-CN"/>
        </w:rPr>
      </w:pPr>
      <w:bookmarkStart w:id="85" w:name="_Toc28461"/>
      <w:bookmarkStart w:id="86" w:name="_Toc13392"/>
      <w:r>
        <w:rPr>
          <w:rFonts w:hint="eastAsia"/>
          <w:lang w:val="en-US" w:eastAsia="zh-CN"/>
        </w:rPr>
        <w:t>投诉举报</w:t>
      </w:r>
      <w:bookmarkEnd w:id="85"/>
      <w:r>
        <w:rPr>
          <w:rFonts w:hint="eastAsia"/>
          <w:lang w:val="en-US" w:eastAsia="zh-CN"/>
        </w:rPr>
        <w:t>处理</w:t>
      </w:r>
      <w:bookmarkEnd w:id="86"/>
    </w:p>
    <w:p w14:paraId="4E4AD569">
      <w:pPr>
        <w:pStyle w:val="37"/>
        <w:keepNext w:val="0"/>
        <w:keepLines w:val="0"/>
        <w:pageBreakBefore w:val="0"/>
        <w:widowControl w:val="0"/>
        <w:kinsoku/>
        <w:wordWrap/>
        <w:overflowPunct/>
        <w:topLinePunct w:val="0"/>
        <w:autoSpaceDE/>
        <w:autoSpaceDN/>
        <w:bidi w:val="0"/>
        <w:adjustRightInd/>
        <w:snapToGrid/>
        <w:spacing w:beforeLines="0" w:afterLines="0"/>
        <w:ind w:firstLine="0"/>
        <w:textAlignment w:val="auto"/>
        <w:rPr>
          <w:rFonts w:hint="eastAsia" w:ascii="宋体" w:hAnsi="宋体" w:eastAsia="宋体" w:cs="宋体"/>
          <w:lang w:val="en-US" w:eastAsia="zh-CN"/>
        </w:rPr>
      </w:pPr>
      <w:r>
        <w:rPr>
          <w:rFonts w:hint="eastAsia" w:ascii="宋体" w:hAnsi="宋体" w:eastAsia="宋体" w:cs="宋体"/>
          <w:lang w:val="en-US" w:eastAsia="zh-CN"/>
        </w:rPr>
        <w:t>畅通投诉举报渠道，建立投诉举报应对及处置机制，及时处理与日常检查相关的投诉举报。</w:t>
      </w:r>
    </w:p>
    <w:p w14:paraId="0E955204">
      <w:pPr>
        <w:pStyle w:val="37"/>
        <w:keepNext w:val="0"/>
        <w:keepLines w:val="0"/>
        <w:pageBreakBefore w:val="0"/>
        <w:widowControl w:val="0"/>
        <w:kinsoku/>
        <w:wordWrap/>
        <w:overflowPunct/>
        <w:topLinePunct w:val="0"/>
        <w:autoSpaceDE/>
        <w:autoSpaceDN/>
        <w:bidi w:val="0"/>
        <w:adjustRightInd/>
        <w:snapToGrid/>
        <w:spacing w:beforeLines="0" w:afterLines="0"/>
        <w:ind w:firstLine="0"/>
        <w:textAlignment w:val="auto"/>
        <w:rPr>
          <w:rFonts w:hint="eastAsia"/>
          <w:lang w:val="en-US" w:eastAsia="zh-CN"/>
        </w:rPr>
      </w:pPr>
      <w:r>
        <w:rPr>
          <w:rFonts w:hint="eastAsia" w:ascii="宋体" w:hAnsi="宋体" w:eastAsia="宋体" w:cs="宋体"/>
          <w:lang w:val="en-US" w:eastAsia="zh-CN"/>
        </w:rPr>
        <w:t>被检查单位有权向派出检查机构反馈日常检查中的违规行为。</w:t>
      </w:r>
    </w:p>
    <w:p w14:paraId="1AD7A59F">
      <w:pPr>
        <w:pStyle w:val="37"/>
        <w:keepNext w:val="0"/>
        <w:keepLines w:val="0"/>
        <w:pageBreakBefore w:val="0"/>
        <w:widowControl w:val="0"/>
        <w:kinsoku/>
        <w:wordWrap/>
        <w:overflowPunct/>
        <w:topLinePunct w:val="0"/>
        <w:autoSpaceDE/>
        <w:autoSpaceDN/>
        <w:bidi w:val="0"/>
        <w:adjustRightInd/>
        <w:snapToGrid/>
        <w:spacing w:beforeLines="0" w:afterLines="0"/>
        <w:ind w:firstLine="0"/>
        <w:textAlignment w:val="auto"/>
        <w:rPr>
          <w:rFonts w:hint="eastAsia"/>
          <w:lang w:val="en-US" w:eastAsia="zh-CN"/>
        </w:rPr>
      </w:pPr>
      <w:r>
        <w:rPr>
          <w:rFonts w:hint="eastAsia" w:ascii="宋体" w:hAnsi="宋体" w:eastAsia="宋体" w:cs="宋体"/>
          <w:sz w:val="21"/>
          <w:lang w:val="en-US" w:eastAsia="zh-CN" w:bidi="ar-SA"/>
        </w:rPr>
        <w:t>应对举报人的信息予以保密，不得泄露举报人个人信息、举报办理情况等。</w:t>
      </w:r>
      <w:r>
        <w:rPr>
          <w:rFonts w:hint="eastAsia"/>
          <w:lang w:val="en-US" w:eastAsia="zh-CN"/>
        </w:rPr>
        <w:tab/>
      </w:r>
    </w:p>
    <w:bookmarkEnd w:id="84"/>
    <w:p w14:paraId="29DCF087">
      <w:pPr>
        <w:pStyle w:val="39"/>
        <w:spacing w:before="312" w:after="312"/>
        <w:outlineLvl w:val="0"/>
        <w:rPr>
          <w:rFonts w:hint="default"/>
          <w:szCs w:val="21"/>
          <w:lang w:val="en-US" w:eastAsia="zh-CN"/>
        </w:rPr>
      </w:pPr>
      <w:bookmarkStart w:id="87" w:name="_Toc25023"/>
      <w:r>
        <w:rPr>
          <w:rFonts w:hint="eastAsia"/>
          <w:szCs w:val="21"/>
          <w:lang w:val="en-US" w:eastAsia="zh-CN"/>
        </w:rPr>
        <w:t>数据管理</w:t>
      </w:r>
      <w:bookmarkEnd w:id="87"/>
    </w:p>
    <w:p w14:paraId="6049BCEA">
      <w:pPr>
        <w:pStyle w:val="41"/>
        <w:widowControl/>
        <w:adjustRightInd w:val="0"/>
        <w:snapToGrid w:val="0"/>
        <w:spacing w:beforeLines="0" w:afterLines="0"/>
        <w:rPr>
          <w:rFonts w:hint="eastAsia" w:ascii="宋体" w:hAnsi="宋体" w:eastAsia="宋体" w:cs="宋体"/>
          <w:lang w:val="en-US" w:eastAsia="zh-CN"/>
        </w:rPr>
      </w:pPr>
      <w:r>
        <w:rPr>
          <w:rFonts w:hint="eastAsia" w:ascii="宋体" w:hAnsi="宋体" w:eastAsia="宋体" w:cs="宋体"/>
          <w:lang w:val="en-US" w:eastAsia="zh-CN"/>
        </w:rPr>
        <w:t>应对日常检查数据进行规范管理，对数据进行合理分类，为数据交换和共享提供统一规则。</w:t>
      </w:r>
    </w:p>
    <w:p w14:paraId="5D98134B">
      <w:pPr>
        <w:pStyle w:val="41"/>
        <w:widowControl/>
        <w:adjustRightInd w:val="0"/>
        <w:snapToGrid w:val="0"/>
        <w:spacing w:beforeLines="0" w:afterLines="0"/>
        <w:rPr>
          <w:rFonts w:hint="eastAsia" w:ascii="宋体" w:hAnsi="宋体" w:eastAsia="宋体" w:cs="宋体"/>
          <w:lang w:val="en-US" w:eastAsia="zh-CN"/>
        </w:rPr>
      </w:pPr>
      <w:r>
        <w:rPr>
          <w:rFonts w:hint="eastAsia" w:ascii="宋体" w:hAnsi="宋体" w:eastAsia="宋体" w:cs="宋体"/>
          <w:lang w:val="en-US" w:eastAsia="zh-CN"/>
        </w:rPr>
        <w:t>应对数据管理进行统一规划，保障数据可在信息系统间互联互通以及分析利用。</w:t>
      </w:r>
    </w:p>
    <w:p w14:paraId="5AB126D5">
      <w:pPr>
        <w:pStyle w:val="41"/>
        <w:widowControl/>
        <w:adjustRightInd w:val="0"/>
        <w:snapToGrid w:val="0"/>
        <w:spacing w:beforeLines="0" w:afterLines="0"/>
        <w:rPr>
          <w:rFonts w:hint="eastAsia" w:ascii="宋体" w:hAnsi="宋体" w:eastAsia="宋体" w:cs="宋体"/>
          <w:lang w:val="en-US" w:eastAsia="zh-CN"/>
        </w:rPr>
      </w:pPr>
      <w:r>
        <w:rPr>
          <w:rFonts w:hint="eastAsia" w:ascii="宋体" w:hAnsi="宋体" w:eastAsia="宋体" w:cs="宋体"/>
          <w:lang w:val="en-US" w:eastAsia="zh-CN"/>
        </w:rPr>
        <w:t>应该界定数据的分享范围与保密权限，保障数据的安全性及相关方合法权益。</w:t>
      </w:r>
    </w:p>
    <w:p w14:paraId="30046CA4">
      <w:pPr>
        <w:pStyle w:val="41"/>
        <w:widowControl/>
        <w:adjustRightInd w:val="0"/>
        <w:snapToGrid w:val="0"/>
        <w:spacing w:beforeLines="0" w:afterLines="0"/>
        <w:rPr>
          <w:rFonts w:hint="eastAsia" w:ascii="宋体" w:hAnsi="宋体" w:eastAsia="宋体" w:cs="宋体"/>
          <w:u w:val="none"/>
          <w:lang w:val="en-US" w:eastAsia="zh-CN"/>
        </w:rPr>
      </w:pPr>
      <w:r>
        <w:rPr>
          <w:rFonts w:hint="eastAsia" w:ascii="宋体" w:hAnsi="宋体" w:eastAsia="宋体" w:cs="宋体"/>
          <w:lang w:val="en-US" w:eastAsia="zh-CN"/>
        </w:rPr>
        <w:t>宜结合日常检查获得的基本数据信息，建立对数字化要素的统计分析方法，指导日常检查信息系统建设</w:t>
      </w:r>
      <w:r>
        <w:rPr>
          <w:rFonts w:hint="eastAsia" w:ascii="宋体" w:hAnsi="宋体" w:eastAsia="宋体" w:cs="宋体"/>
          <w:u w:val="none"/>
          <w:lang w:val="en-US" w:eastAsia="zh-CN"/>
        </w:rPr>
        <w:t>。</w:t>
      </w:r>
    </w:p>
    <w:p w14:paraId="5FD90084">
      <w:pPr>
        <w:pStyle w:val="39"/>
        <w:keepNext w:val="0"/>
        <w:keepLines w:val="0"/>
        <w:widowControl/>
        <w:suppressLineNumbers w:val="0"/>
        <w:spacing w:before="312" w:after="312"/>
        <w:jc w:val="left"/>
        <w:outlineLvl w:val="0"/>
        <w:rPr>
          <w:rFonts w:hint="eastAsia" w:ascii="宋体" w:eastAsia="宋体"/>
        </w:rPr>
      </w:pPr>
      <w:bookmarkStart w:id="88" w:name="_Toc25711"/>
      <w:r>
        <w:rPr>
          <w:rFonts w:hint="eastAsia" w:hAnsi="宋体" w:cs="宋体"/>
          <w:lang w:val="en-US" w:eastAsia="zh-CN"/>
        </w:rPr>
        <w:t>信息公开</w:t>
      </w:r>
      <w:bookmarkEnd w:id="88"/>
    </w:p>
    <w:p w14:paraId="492CF0C7">
      <w:pPr>
        <w:pStyle w:val="41"/>
        <w:keepNext w:val="0"/>
        <w:keepLines w:val="0"/>
        <w:widowControl/>
        <w:suppressLineNumbers w:val="0"/>
        <w:spacing w:beforeLines="0" w:afterLines="0"/>
        <w:jc w:val="left"/>
        <w:rPr>
          <w:rFonts w:hint="eastAsia" w:ascii="宋体" w:hAnsi="宋体" w:eastAsia="宋体" w:cs="宋体"/>
        </w:rPr>
      </w:pPr>
      <w:r>
        <w:rPr>
          <w:rFonts w:hint="eastAsia" w:ascii="宋体" w:hAnsi="宋体" w:eastAsia="宋体" w:cs="宋体"/>
          <w:i w:val="0"/>
          <w:iCs w:val="0"/>
          <w:caps w:val="0"/>
          <w:spacing w:val="0"/>
          <w:kern w:val="0"/>
          <w:sz w:val="21"/>
          <w:szCs w:val="20"/>
          <w:u w:val="none"/>
          <w:shd w:val="clear"/>
          <w:lang w:val="en-US" w:eastAsia="zh-CN" w:bidi="ar-SA"/>
        </w:rPr>
        <w:t>信息公开工作坚持依法、公正、公开、便民的原则。</w:t>
      </w:r>
    </w:p>
    <w:p w14:paraId="788E2603">
      <w:pPr>
        <w:pStyle w:val="41"/>
        <w:keepNext w:val="0"/>
        <w:keepLines w:val="0"/>
        <w:widowControl/>
        <w:suppressLineNumbers w:val="0"/>
        <w:spacing w:beforeLines="0" w:afterLines="0"/>
        <w:jc w:val="left"/>
        <w:rPr>
          <w:rFonts w:hint="eastAsia" w:ascii="宋体" w:hAnsi="宋体" w:eastAsia="宋体" w:cs="宋体"/>
        </w:rPr>
      </w:pPr>
      <w:r>
        <w:rPr>
          <w:rFonts w:hint="eastAsia" w:ascii="宋体" w:hAnsi="宋体" w:eastAsia="宋体" w:cs="宋体"/>
          <w:i w:val="0"/>
          <w:iCs w:val="0"/>
          <w:caps w:val="0"/>
          <w:spacing w:val="0"/>
          <w:kern w:val="0"/>
          <w:sz w:val="21"/>
          <w:szCs w:val="20"/>
          <w:u w:val="none"/>
          <w:shd w:val="clear"/>
          <w:lang w:val="en-US" w:eastAsia="zh-CN" w:bidi="ar-SA"/>
        </w:rPr>
        <w:t>发布</w:t>
      </w:r>
      <w:r>
        <w:rPr>
          <w:rFonts w:hint="eastAsia" w:ascii="宋体" w:hAnsi="宋体" w:eastAsia="宋体" w:cs="宋体"/>
          <w:i w:val="0"/>
          <w:iCs w:val="0"/>
          <w:caps w:val="0"/>
          <w:color w:val="333333"/>
          <w:spacing w:val="0"/>
          <w:kern w:val="0"/>
          <w:sz w:val="21"/>
          <w:szCs w:val="20"/>
          <w:u w:val="none"/>
          <w:shd w:val="clear" w:fill="FFFFFF"/>
          <w:lang w:val="en-US" w:eastAsia="zh-CN" w:bidi="ar-SA"/>
        </w:rPr>
        <w:t>涉及其他行政</w:t>
      </w:r>
      <w:r>
        <w:rPr>
          <w:rFonts w:hint="eastAsia" w:ascii="宋体" w:hAnsi="宋体" w:eastAsia="宋体" w:cs="宋体"/>
          <w:i w:val="0"/>
          <w:iCs w:val="0"/>
          <w:caps w:val="0"/>
          <w:spacing w:val="0"/>
          <w:kern w:val="0"/>
          <w:sz w:val="21"/>
          <w:szCs w:val="20"/>
          <w:u w:val="none"/>
          <w:shd w:val="clear"/>
          <w:lang w:val="en-US" w:eastAsia="zh-CN" w:bidi="ar-SA"/>
        </w:rPr>
        <w:t>部门</w:t>
      </w:r>
      <w:r>
        <w:rPr>
          <w:rFonts w:hint="eastAsia" w:ascii="宋体" w:hAnsi="宋体" w:eastAsia="宋体" w:cs="宋体"/>
          <w:i w:val="0"/>
          <w:iCs w:val="0"/>
          <w:caps w:val="0"/>
          <w:color w:val="333333"/>
          <w:spacing w:val="0"/>
          <w:kern w:val="0"/>
          <w:sz w:val="21"/>
          <w:szCs w:val="20"/>
          <w:u w:val="none"/>
          <w:shd w:val="clear" w:fill="FFFFFF"/>
          <w:lang w:val="en-US" w:eastAsia="zh-CN" w:bidi="ar-SA"/>
        </w:rPr>
        <w:t>的信息，应当与有关行政</w:t>
      </w:r>
      <w:r>
        <w:rPr>
          <w:rFonts w:hint="eastAsia" w:ascii="宋体" w:hAnsi="宋体" w:eastAsia="宋体" w:cs="宋体"/>
          <w:i w:val="0"/>
          <w:iCs w:val="0"/>
          <w:caps w:val="0"/>
          <w:spacing w:val="0"/>
          <w:kern w:val="0"/>
          <w:sz w:val="21"/>
          <w:szCs w:val="20"/>
          <w:u w:val="none"/>
          <w:shd w:val="clear"/>
          <w:lang w:val="en-US" w:eastAsia="zh-CN" w:bidi="ar-SA"/>
        </w:rPr>
        <w:t>部门</w:t>
      </w:r>
      <w:r>
        <w:rPr>
          <w:rFonts w:hint="eastAsia" w:ascii="宋体" w:hAnsi="宋体" w:eastAsia="宋体" w:cs="宋体"/>
          <w:i w:val="0"/>
          <w:iCs w:val="0"/>
          <w:caps w:val="0"/>
          <w:color w:val="333333"/>
          <w:spacing w:val="0"/>
          <w:kern w:val="0"/>
          <w:sz w:val="21"/>
          <w:szCs w:val="20"/>
          <w:u w:val="none"/>
          <w:shd w:val="clear" w:fill="FFFFFF"/>
          <w:lang w:val="en-US" w:eastAsia="zh-CN" w:bidi="ar-SA"/>
        </w:rPr>
        <w:t>进行沟通、确认，保证发布的信息准确一致。</w:t>
      </w:r>
    </w:p>
    <w:p w14:paraId="685095CD">
      <w:pPr>
        <w:pStyle w:val="41"/>
        <w:bidi w:val="0"/>
        <w:spacing w:beforeLines="0" w:afterLines="0"/>
        <w:ind w:left="0" w:leftChars="0" w:firstLine="0" w:firstLineChars="0"/>
        <w:rPr>
          <w:rFonts w:hint="eastAsia" w:ascii="宋体" w:hAnsi="宋体" w:eastAsia="宋体" w:cs="宋体"/>
          <w:lang w:val="en-US" w:eastAsia="zh-CN"/>
        </w:rPr>
      </w:pPr>
      <w:r>
        <w:rPr>
          <w:rFonts w:hint="eastAsia" w:ascii="宋体" w:hAnsi="宋体" w:eastAsia="宋体" w:cs="宋体"/>
          <w:sz w:val="21"/>
          <w:lang w:val="en-US" w:eastAsia="zh-CN" w:bidi="ar-SA"/>
        </w:rPr>
        <w:t>监管部门应按有关规定在监管对象及公众易于查询的网站对日常检查数据进行信息公示。</w:t>
      </w:r>
    </w:p>
    <w:p w14:paraId="4F74BDA6">
      <w:pPr>
        <w:pStyle w:val="41"/>
        <w:bidi w:val="0"/>
        <w:spacing w:beforeLines="0" w:afterLines="0"/>
        <w:ind w:left="0" w:leftChars="0" w:firstLine="0" w:firstLineChars="0"/>
        <w:rPr>
          <w:rFonts w:hint="eastAsia" w:ascii="宋体" w:hAnsi="宋体" w:eastAsia="宋体" w:cs="宋体"/>
          <w:lang w:val="en-US" w:eastAsia="zh-CN"/>
        </w:rPr>
      </w:pPr>
      <w:r>
        <w:rPr>
          <w:rFonts w:hint="eastAsia" w:ascii="宋体" w:hAnsi="宋体" w:eastAsia="宋体" w:cs="宋体"/>
          <w:kern w:val="0"/>
          <w:sz w:val="21"/>
          <w:szCs w:val="20"/>
          <w:lang w:val="en-US" w:eastAsia="zh-CN" w:bidi="ar-SA"/>
        </w:rPr>
        <w:t>公开的信息应具有较强的时效性，保证内容的真实性、准确性、完整性和安全性，不得涉及国家秘密、商业秘密、工作秘密、个人隐私等。</w:t>
      </w:r>
    </w:p>
    <w:p w14:paraId="73A0E032">
      <w:pPr>
        <w:pStyle w:val="38"/>
        <w:rPr>
          <w:rFonts w:hint="default"/>
          <w:lang w:val="en-US" w:eastAsia="zh-CN"/>
        </w:rPr>
      </w:pPr>
    </w:p>
    <w:p w14:paraId="6765B2DF">
      <w:pPr>
        <w:pStyle w:val="38"/>
        <w:rPr>
          <w:rFonts w:hint="default"/>
          <w:lang w:val="en-US" w:eastAsia="zh-CN"/>
        </w:rPr>
      </w:pPr>
    </w:p>
    <w:p w14:paraId="4E4382A8">
      <w:pPr>
        <w:pStyle w:val="38"/>
        <w:ind w:left="0" w:leftChars="0" w:firstLine="0" w:firstLineChars="0"/>
        <w:rPr>
          <w:rFonts w:hint="eastAsia"/>
          <w:lang w:val="en-US" w:eastAsia="zh-CN"/>
        </w:rPr>
      </w:pPr>
    </w:p>
    <w:p w14:paraId="2D32D7B0">
      <w:pPr>
        <w:pStyle w:val="38"/>
        <w:rPr>
          <w:rFonts w:hint="eastAsia"/>
          <w:lang w:val="en-US" w:eastAsia="zh-CN"/>
        </w:rPr>
      </w:pPr>
    </w:p>
    <w:p w14:paraId="72B87540">
      <w:pPr>
        <w:pStyle w:val="38"/>
        <w:rPr>
          <w:rFonts w:hint="eastAsia"/>
          <w:lang w:val="en-US" w:eastAsia="zh-CN"/>
        </w:rPr>
      </w:pPr>
    </w:p>
    <w:p w14:paraId="0F7A1758">
      <w:pPr>
        <w:widowControl/>
        <w:shd w:val="clear" w:color="FFFFFF" w:fill="FFFFFF"/>
        <w:adjustRightInd/>
        <w:spacing w:before="124" w:after="156" w:afterLines="50" w:line="240" w:lineRule="auto"/>
        <w:jc w:val="center"/>
        <w:outlineLvl w:val="0"/>
        <w:rPr>
          <w:rFonts w:hint="eastAsia" w:ascii="黑体" w:hAnsi="Calibri" w:eastAsia="黑体" w:cs="Times New Roman"/>
          <w:spacing w:val="105"/>
          <w:kern w:val="0"/>
          <w:sz w:val="21"/>
          <w:szCs w:val="21"/>
          <w:lang w:val="en-US" w:eastAsia="zh-CN" w:bidi="ar-SA"/>
        </w:rPr>
      </w:pPr>
      <w:bookmarkStart w:id="89" w:name="_Toc67580282"/>
      <w:bookmarkStart w:id="90" w:name="_Toc7790"/>
      <w:bookmarkStart w:id="91" w:name="_Toc68004267"/>
      <w:bookmarkStart w:id="92" w:name="_Toc7954"/>
    </w:p>
    <w:p w14:paraId="4E84B80D">
      <w:pPr>
        <w:widowControl/>
        <w:shd w:val="clear" w:color="FFFFFF" w:fill="FFFFFF"/>
        <w:adjustRightInd/>
        <w:spacing w:before="124" w:after="156" w:afterLines="50" w:line="240" w:lineRule="auto"/>
        <w:jc w:val="center"/>
        <w:outlineLvl w:val="0"/>
        <w:rPr>
          <w:rFonts w:hint="eastAsia" w:ascii="黑体" w:hAnsi="Calibri" w:eastAsia="黑体" w:cs="Times New Roman"/>
          <w:spacing w:val="105"/>
          <w:kern w:val="0"/>
          <w:sz w:val="21"/>
          <w:szCs w:val="21"/>
          <w:lang w:val="en-US" w:eastAsia="zh-CN" w:bidi="ar-SA"/>
        </w:rPr>
      </w:pPr>
    </w:p>
    <w:p w14:paraId="7193BC79">
      <w:pPr>
        <w:widowControl/>
        <w:shd w:val="clear" w:color="FFFFFF" w:fill="FFFFFF"/>
        <w:adjustRightInd/>
        <w:spacing w:before="124" w:after="156" w:afterLines="50" w:line="240" w:lineRule="auto"/>
        <w:jc w:val="center"/>
        <w:outlineLvl w:val="0"/>
        <w:rPr>
          <w:rFonts w:hint="eastAsia" w:ascii="黑体" w:hAnsi="Calibri" w:eastAsia="黑体" w:cs="Times New Roman"/>
          <w:spacing w:val="105"/>
          <w:kern w:val="0"/>
          <w:sz w:val="21"/>
          <w:szCs w:val="21"/>
          <w:lang w:val="en-US" w:eastAsia="zh-CN" w:bidi="ar-SA"/>
        </w:rPr>
      </w:pPr>
    </w:p>
    <w:p w14:paraId="75E3AFC1">
      <w:pPr>
        <w:widowControl/>
        <w:shd w:val="clear" w:color="FFFFFF" w:fill="FFFFFF"/>
        <w:adjustRightInd/>
        <w:spacing w:before="124" w:after="156" w:afterLines="50" w:line="240" w:lineRule="auto"/>
        <w:jc w:val="center"/>
        <w:outlineLvl w:val="0"/>
        <w:rPr>
          <w:rFonts w:hint="eastAsia" w:ascii="黑体" w:hAnsi="Calibri" w:eastAsia="黑体" w:cs="Times New Roman"/>
          <w:spacing w:val="105"/>
          <w:kern w:val="0"/>
          <w:sz w:val="21"/>
          <w:szCs w:val="21"/>
          <w:lang w:val="en-US" w:eastAsia="zh-CN" w:bidi="ar-SA"/>
        </w:rPr>
      </w:pPr>
    </w:p>
    <w:p w14:paraId="685FD7D7">
      <w:pPr>
        <w:widowControl/>
        <w:shd w:val="clear" w:color="FFFFFF" w:fill="FFFFFF"/>
        <w:adjustRightInd/>
        <w:spacing w:before="124" w:after="156" w:afterLines="50" w:line="240" w:lineRule="auto"/>
        <w:jc w:val="center"/>
        <w:outlineLvl w:val="0"/>
        <w:rPr>
          <w:rFonts w:hint="eastAsia" w:ascii="黑体" w:hAnsi="Calibri" w:eastAsia="黑体" w:cs="Times New Roman"/>
          <w:spacing w:val="105"/>
          <w:kern w:val="0"/>
          <w:sz w:val="21"/>
          <w:szCs w:val="21"/>
          <w:lang w:val="en-US" w:eastAsia="zh-CN" w:bidi="ar-SA"/>
        </w:rPr>
      </w:pPr>
    </w:p>
    <w:p w14:paraId="1D8B7C4D">
      <w:pPr>
        <w:widowControl/>
        <w:shd w:val="clear" w:color="FFFFFF" w:fill="FFFFFF"/>
        <w:adjustRightInd/>
        <w:spacing w:before="124" w:after="156" w:afterLines="50" w:line="240" w:lineRule="auto"/>
        <w:jc w:val="center"/>
        <w:outlineLvl w:val="0"/>
        <w:rPr>
          <w:rFonts w:hint="eastAsia" w:ascii="黑体" w:hAnsi="Calibri" w:eastAsia="黑体" w:cs="Times New Roman"/>
          <w:spacing w:val="105"/>
          <w:kern w:val="0"/>
          <w:sz w:val="21"/>
          <w:szCs w:val="21"/>
          <w:lang w:val="en-US" w:eastAsia="zh-CN" w:bidi="ar-SA"/>
        </w:rPr>
      </w:pPr>
    </w:p>
    <w:p w14:paraId="1465AD66">
      <w:pPr>
        <w:widowControl/>
        <w:shd w:val="clear" w:color="FFFFFF" w:fill="FFFFFF"/>
        <w:adjustRightInd/>
        <w:spacing w:before="124" w:after="156" w:afterLines="50" w:line="240" w:lineRule="auto"/>
        <w:jc w:val="center"/>
        <w:outlineLvl w:val="0"/>
        <w:rPr>
          <w:rFonts w:hint="eastAsia" w:ascii="黑体" w:hAnsi="Calibri" w:eastAsia="黑体" w:cs="Times New Roman"/>
          <w:spacing w:val="105"/>
          <w:kern w:val="0"/>
          <w:sz w:val="21"/>
          <w:szCs w:val="21"/>
          <w:lang w:val="en-US" w:eastAsia="zh-CN" w:bidi="ar-SA"/>
        </w:rPr>
      </w:pPr>
    </w:p>
    <w:p w14:paraId="0481597F">
      <w:pPr>
        <w:widowControl/>
        <w:shd w:val="clear" w:color="FFFFFF" w:fill="FFFFFF"/>
        <w:adjustRightInd/>
        <w:spacing w:before="124" w:after="156" w:afterLines="50" w:line="240" w:lineRule="auto"/>
        <w:jc w:val="center"/>
        <w:outlineLvl w:val="0"/>
        <w:rPr>
          <w:rFonts w:hint="eastAsia" w:ascii="黑体" w:hAnsi="Calibri" w:eastAsia="黑体" w:cs="Times New Roman"/>
          <w:spacing w:val="105"/>
          <w:kern w:val="0"/>
          <w:sz w:val="21"/>
          <w:szCs w:val="21"/>
          <w:lang w:val="en-US" w:eastAsia="zh-CN" w:bidi="ar-SA"/>
        </w:rPr>
      </w:pPr>
    </w:p>
    <w:p w14:paraId="502B7CC2">
      <w:pPr>
        <w:widowControl/>
        <w:shd w:val="clear" w:color="FFFFFF" w:fill="FFFFFF"/>
        <w:adjustRightInd/>
        <w:spacing w:before="124" w:after="156" w:afterLines="50" w:line="240" w:lineRule="auto"/>
        <w:jc w:val="both"/>
        <w:outlineLvl w:val="0"/>
        <w:rPr>
          <w:rFonts w:hint="eastAsia" w:ascii="黑体" w:hAnsi="Calibri" w:eastAsia="黑体" w:cs="Times New Roman"/>
          <w:spacing w:val="105"/>
          <w:kern w:val="0"/>
          <w:sz w:val="21"/>
          <w:szCs w:val="21"/>
          <w:lang w:val="en-US" w:eastAsia="zh-CN" w:bidi="ar-SA"/>
        </w:rPr>
      </w:pPr>
    </w:p>
    <w:p w14:paraId="4E33DC13">
      <w:pPr>
        <w:rPr>
          <w:rFonts w:hint="eastAsia" w:ascii="黑体" w:hAnsi="Calibri" w:eastAsia="黑体" w:cs="Times New Roman"/>
          <w:spacing w:val="105"/>
          <w:kern w:val="0"/>
          <w:sz w:val="21"/>
          <w:szCs w:val="21"/>
          <w:lang w:val="en-US" w:eastAsia="zh-CN" w:bidi="ar-SA"/>
        </w:rPr>
      </w:pPr>
      <w:bookmarkStart w:id="93" w:name="_Toc19159"/>
      <w:r>
        <w:rPr>
          <w:rFonts w:hint="eastAsia" w:ascii="黑体" w:hAnsi="Calibri" w:eastAsia="黑体" w:cs="Times New Roman"/>
          <w:spacing w:val="105"/>
          <w:kern w:val="0"/>
          <w:sz w:val="21"/>
          <w:szCs w:val="21"/>
          <w:lang w:val="en-US" w:eastAsia="zh-CN" w:bidi="ar-SA"/>
        </w:rPr>
        <w:br w:type="page"/>
      </w:r>
    </w:p>
    <w:p w14:paraId="2BDCF6D2">
      <w:pPr>
        <w:widowControl/>
        <w:shd w:val="clear" w:color="FFFFFF" w:fill="FFFFFF"/>
        <w:adjustRightInd/>
        <w:spacing w:before="124" w:after="156" w:afterLines="50" w:line="240" w:lineRule="auto"/>
        <w:jc w:val="center"/>
        <w:outlineLvl w:val="0"/>
        <w:rPr>
          <w:rFonts w:ascii="黑体" w:hAnsi="Calibri" w:eastAsia="黑体" w:cs="Times New Roman"/>
          <w:kern w:val="0"/>
          <w:sz w:val="21"/>
          <w:szCs w:val="21"/>
          <w:lang w:val="en-US" w:eastAsia="zh-CN" w:bidi="ar-SA"/>
        </w:rPr>
      </w:pPr>
      <w:r>
        <w:rPr>
          <w:rFonts w:hint="eastAsia" w:ascii="黑体" w:hAnsi="Calibri" w:eastAsia="黑体" w:cs="Times New Roman"/>
          <w:spacing w:val="105"/>
          <w:kern w:val="0"/>
          <w:sz w:val="21"/>
          <w:szCs w:val="21"/>
          <w:lang w:val="en-US" w:eastAsia="zh-CN" w:bidi="ar-SA"/>
        </w:rPr>
        <w:t>参考文</w:t>
      </w:r>
      <w:r>
        <w:rPr>
          <w:rFonts w:hint="eastAsia" w:ascii="黑体" w:hAnsi="Calibri" w:eastAsia="黑体" w:cs="Times New Roman"/>
          <w:kern w:val="0"/>
          <w:sz w:val="21"/>
          <w:szCs w:val="21"/>
          <w:lang w:val="en-US" w:eastAsia="zh-CN" w:bidi="ar-SA"/>
        </w:rPr>
        <w:t>献</w:t>
      </w:r>
      <w:bookmarkEnd w:id="89"/>
      <w:bookmarkEnd w:id="90"/>
      <w:bookmarkEnd w:id="91"/>
      <w:bookmarkEnd w:id="92"/>
      <w:bookmarkEnd w:id="93"/>
    </w:p>
    <w:p w14:paraId="3C666527">
      <w:pPr>
        <w:pStyle w:val="58"/>
        <w:numPr>
          <w:ilvl w:val="0"/>
          <w:numId w:val="0"/>
        </w:numPr>
        <w:ind w:left="0" w:leftChars="0"/>
        <w:rPr>
          <w:rFonts w:hint="default"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1</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Calibri" w:hAnsi="Calibri" w:eastAsia="宋体" w:cs="Times New Roman"/>
          <w:kern w:val="2"/>
          <w:sz w:val="21"/>
          <w:szCs w:val="21"/>
          <w:highlight w:val="none"/>
          <w:lang w:val="en-US" w:eastAsia="zh-CN"/>
        </w:rPr>
        <w:t>中华人民共和国药品管理法</w:t>
      </w:r>
      <w:r>
        <w:rPr>
          <w:rFonts w:hint="eastAsia" w:ascii="Calibri" w:hAnsi="Calibri" w:eastAsia="宋体"/>
          <w:kern w:val="2"/>
          <w:sz w:val="21"/>
          <w:szCs w:val="21"/>
          <w:lang w:val="en-US" w:eastAsia="zh-CN"/>
        </w:rPr>
        <w:t>》（中华人民共和国主席令第31号）</w:t>
      </w:r>
    </w:p>
    <w:p w14:paraId="75884A3C">
      <w:pPr>
        <w:pStyle w:val="58"/>
        <w:numPr>
          <w:ilvl w:val="0"/>
          <w:numId w:val="0"/>
        </w:numPr>
        <w:ind w:left="0" w:leftChars="0"/>
        <w:rPr>
          <w:rFonts w:hint="default"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2</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Calibri" w:hAnsi="Calibri" w:eastAsia="宋体" w:cs="Times New Roman"/>
          <w:kern w:val="2"/>
          <w:sz w:val="21"/>
          <w:szCs w:val="21"/>
          <w:highlight w:val="none"/>
          <w:lang w:val="en-US" w:eastAsia="zh-CN"/>
        </w:rPr>
        <w:t>中华人民共和国疫苗管理法</w:t>
      </w:r>
      <w:r>
        <w:rPr>
          <w:rFonts w:hint="eastAsia" w:ascii="Calibri" w:hAnsi="Calibri" w:eastAsia="宋体"/>
          <w:kern w:val="2"/>
          <w:sz w:val="21"/>
          <w:szCs w:val="21"/>
          <w:lang w:val="en-US" w:eastAsia="zh-CN"/>
        </w:rPr>
        <w:t>》（中华人民共和国主席令第30号）</w:t>
      </w:r>
    </w:p>
    <w:p w14:paraId="020F90B0">
      <w:pPr>
        <w:pStyle w:val="58"/>
        <w:numPr>
          <w:ilvl w:val="0"/>
          <w:numId w:val="0"/>
        </w:numPr>
        <w:ind w:left="0" w:leftChars="0"/>
        <w:rPr>
          <w:rFonts w:hint="default"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3</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Calibri" w:hAnsi="Calibri" w:eastAsia="宋体" w:cs="Times New Roman"/>
          <w:kern w:val="2"/>
          <w:sz w:val="21"/>
          <w:szCs w:val="21"/>
          <w:highlight w:val="none"/>
          <w:lang w:val="en-US" w:eastAsia="zh-CN"/>
        </w:rPr>
        <w:t>中华人民共和国中医药法</w:t>
      </w:r>
      <w:r>
        <w:rPr>
          <w:rFonts w:hint="eastAsia" w:ascii="Calibri" w:hAnsi="Calibri" w:eastAsia="宋体"/>
          <w:kern w:val="2"/>
          <w:sz w:val="21"/>
          <w:szCs w:val="21"/>
          <w:lang w:val="en-US" w:eastAsia="zh-CN"/>
        </w:rPr>
        <w:t>》（中华人民共和国主席令第59号）</w:t>
      </w:r>
    </w:p>
    <w:p w14:paraId="65698AF0">
      <w:pPr>
        <w:pStyle w:val="58"/>
        <w:numPr>
          <w:ilvl w:val="0"/>
          <w:numId w:val="0"/>
        </w:numPr>
        <w:ind w:left="0" w:leftChars="0"/>
        <w:rPr>
          <w:rFonts w:hint="default"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4</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Calibri" w:hAnsi="Calibri" w:eastAsia="宋体" w:cs="Times New Roman"/>
          <w:kern w:val="2"/>
          <w:sz w:val="21"/>
          <w:szCs w:val="21"/>
          <w:highlight w:val="none"/>
          <w:lang w:val="en-US" w:eastAsia="zh-CN"/>
        </w:rPr>
        <w:t>药品生产监督管理办法</w:t>
      </w:r>
      <w:r>
        <w:rPr>
          <w:rFonts w:hint="eastAsia" w:ascii="Calibri" w:hAnsi="Calibri" w:eastAsia="宋体"/>
          <w:kern w:val="2"/>
          <w:sz w:val="21"/>
          <w:szCs w:val="21"/>
          <w:lang w:val="en-US" w:eastAsia="zh-CN"/>
        </w:rPr>
        <w:t>》（国家药品监督管理局令第37号）</w:t>
      </w:r>
    </w:p>
    <w:p w14:paraId="668DF0B8">
      <w:pPr>
        <w:pStyle w:val="58"/>
        <w:numPr>
          <w:ilvl w:val="0"/>
          <w:numId w:val="0"/>
        </w:numPr>
        <w:ind w:left="0" w:leftChars="0"/>
        <w:rPr>
          <w:rFonts w:hint="default"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5</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Calibri" w:hAnsi="Calibri" w:eastAsia="宋体" w:cs="Times New Roman"/>
          <w:kern w:val="2"/>
          <w:sz w:val="21"/>
          <w:szCs w:val="21"/>
          <w:highlight w:val="none"/>
          <w:lang w:val="en-US" w:eastAsia="zh-CN"/>
        </w:rPr>
        <w:t>药品检查管理办法</w:t>
      </w:r>
      <w:r>
        <w:rPr>
          <w:rFonts w:hint="eastAsia" w:ascii="Calibri" w:hAnsi="Calibri" w:eastAsia="宋体"/>
          <w:kern w:val="2"/>
          <w:sz w:val="21"/>
          <w:szCs w:val="21"/>
          <w:lang w:val="en-US" w:eastAsia="zh-CN"/>
        </w:rPr>
        <w:t>》</w:t>
      </w:r>
      <w:r>
        <w:rPr>
          <w:rFonts w:hint="default" w:ascii="Calibri" w:hAnsi="Calibri" w:eastAsia="宋体" w:cs="Times New Roman"/>
          <w:kern w:val="2"/>
          <w:sz w:val="21"/>
          <w:szCs w:val="21"/>
          <w:highlight w:val="none"/>
          <w:lang w:val="en-US" w:eastAsia="zh-CN"/>
        </w:rPr>
        <w:t>（试行）（国药监药管〔2023〕26号）</w:t>
      </w:r>
    </w:p>
    <w:p w14:paraId="559581A5">
      <w:pPr>
        <w:pStyle w:val="58"/>
        <w:numPr>
          <w:ilvl w:val="0"/>
          <w:numId w:val="0"/>
        </w:numPr>
        <w:ind w:left="0" w:leftChars="0"/>
        <w:rPr>
          <w:rFonts w:hint="default"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6</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Calibri" w:hAnsi="Calibri" w:eastAsia="宋体" w:cs="Times New Roman"/>
          <w:kern w:val="2"/>
          <w:sz w:val="21"/>
          <w:szCs w:val="21"/>
          <w:highlight w:val="none"/>
          <w:lang w:val="en-US" w:eastAsia="zh-CN"/>
        </w:rPr>
        <w:t>医疗器械监督管理条例</w:t>
      </w:r>
      <w:r>
        <w:rPr>
          <w:rFonts w:hint="eastAsia" w:ascii="Calibri" w:hAnsi="Calibri" w:eastAsia="宋体"/>
          <w:kern w:val="2"/>
          <w:sz w:val="21"/>
          <w:szCs w:val="21"/>
          <w:lang w:val="en-US" w:eastAsia="zh-CN"/>
        </w:rPr>
        <w:t>》（国务院令第276号）</w:t>
      </w:r>
    </w:p>
    <w:p w14:paraId="6384AD75">
      <w:pPr>
        <w:pStyle w:val="58"/>
        <w:numPr>
          <w:ilvl w:val="0"/>
          <w:numId w:val="0"/>
        </w:numPr>
        <w:ind w:left="0" w:leftChars="0"/>
        <w:rPr>
          <w:rFonts w:hint="default"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7</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Calibri" w:hAnsi="Calibri" w:eastAsia="宋体" w:cs="Times New Roman"/>
          <w:kern w:val="2"/>
          <w:sz w:val="21"/>
          <w:szCs w:val="21"/>
          <w:highlight w:val="none"/>
          <w:lang w:val="en-US" w:eastAsia="zh-CN"/>
        </w:rPr>
        <w:t>医疗器械生产监督管理办法</w:t>
      </w:r>
      <w:r>
        <w:rPr>
          <w:rFonts w:hint="eastAsia" w:ascii="Calibri" w:hAnsi="Calibri" w:eastAsia="宋体"/>
          <w:kern w:val="2"/>
          <w:sz w:val="21"/>
          <w:szCs w:val="21"/>
          <w:lang w:val="en-US" w:eastAsia="zh-CN"/>
        </w:rPr>
        <w:t>》（国家市场监督管理总局令第53号）</w:t>
      </w:r>
    </w:p>
    <w:p w14:paraId="36C8221A">
      <w:pPr>
        <w:pStyle w:val="58"/>
        <w:numPr>
          <w:ilvl w:val="0"/>
          <w:numId w:val="0"/>
        </w:numPr>
        <w:ind w:left="0" w:leftChars="0"/>
        <w:rPr>
          <w:rFonts w:hint="default"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8</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Calibri" w:hAnsi="Calibri" w:eastAsia="宋体" w:cs="Times New Roman"/>
          <w:kern w:val="2"/>
          <w:sz w:val="21"/>
          <w:szCs w:val="21"/>
          <w:highlight w:val="none"/>
          <w:lang w:val="en-US" w:eastAsia="zh-CN"/>
        </w:rPr>
        <w:t>医疗器械经营监督管理办法</w:t>
      </w:r>
      <w:r>
        <w:rPr>
          <w:rFonts w:hint="eastAsia" w:ascii="Calibri" w:hAnsi="Calibri" w:eastAsia="宋体"/>
          <w:kern w:val="2"/>
          <w:sz w:val="21"/>
          <w:szCs w:val="21"/>
          <w:lang w:val="en-US" w:eastAsia="zh-CN"/>
        </w:rPr>
        <w:t>》（国家市场监督管理总局令第54号）</w:t>
      </w:r>
    </w:p>
    <w:p w14:paraId="3664BE7B">
      <w:pPr>
        <w:pStyle w:val="58"/>
        <w:numPr>
          <w:ilvl w:val="0"/>
          <w:numId w:val="0"/>
        </w:numPr>
        <w:ind w:left="0" w:leftChars="0"/>
        <w:rPr>
          <w:rFonts w:hint="eastAsia"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9</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eastAsia" w:ascii="Calibri" w:hAnsi="Calibri" w:eastAsia="宋体" w:cs="Times New Roman"/>
          <w:kern w:val="2"/>
          <w:sz w:val="21"/>
          <w:szCs w:val="21"/>
          <w:highlight w:val="none"/>
          <w:lang w:val="en-US" w:eastAsia="zh-CN"/>
        </w:rPr>
        <w:fldChar w:fldCharType="begin"/>
      </w:r>
      <w:r>
        <w:rPr>
          <w:rFonts w:hint="eastAsia" w:ascii="Calibri" w:hAnsi="Calibri" w:eastAsia="宋体" w:cs="Times New Roman"/>
          <w:kern w:val="2"/>
          <w:sz w:val="21"/>
          <w:szCs w:val="21"/>
          <w:highlight w:val="none"/>
          <w:lang w:val="en-US" w:eastAsia="zh-CN"/>
        </w:rPr>
        <w:instrText xml:space="preserve"> HYPERLINK \l _Toc15022 </w:instrText>
      </w:r>
      <w:r>
        <w:rPr>
          <w:rFonts w:hint="eastAsia" w:ascii="Calibri" w:hAnsi="Calibri" w:eastAsia="宋体" w:cs="Times New Roman"/>
          <w:kern w:val="2"/>
          <w:sz w:val="21"/>
          <w:szCs w:val="21"/>
          <w:highlight w:val="none"/>
          <w:lang w:val="en-US" w:eastAsia="zh-CN"/>
        </w:rPr>
        <w:fldChar w:fldCharType="separate"/>
      </w:r>
      <w:r>
        <w:rPr>
          <w:rFonts w:hint="eastAsia" w:ascii="Calibri" w:hAnsi="Calibri" w:eastAsia="宋体" w:cs="Times New Roman"/>
          <w:kern w:val="2"/>
          <w:sz w:val="21"/>
          <w:szCs w:val="21"/>
          <w:highlight w:val="none"/>
          <w:lang w:val="en-US" w:eastAsia="zh-CN"/>
        </w:rPr>
        <w:t>化妆品监督管理条例</w:t>
      </w:r>
      <w:r>
        <w:rPr>
          <w:rFonts w:hint="eastAsia" w:ascii="Calibri" w:hAnsi="Calibri" w:eastAsia="宋体"/>
          <w:kern w:val="2"/>
          <w:sz w:val="21"/>
          <w:szCs w:val="21"/>
          <w:lang w:val="en-US" w:eastAsia="zh-CN"/>
        </w:rPr>
        <w:t>》（国务院令第727号）</w:t>
      </w:r>
      <w:r>
        <w:rPr>
          <w:rFonts w:hint="eastAsia" w:ascii="Calibri" w:hAnsi="Calibri" w:eastAsia="宋体" w:cs="Times New Roman"/>
          <w:kern w:val="2"/>
          <w:sz w:val="21"/>
          <w:szCs w:val="21"/>
          <w:highlight w:val="none"/>
          <w:lang w:val="en-US" w:eastAsia="zh-CN"/>
        </w:rPr>
        <w:tab/>
      </w:r>
      <w:r>
        <w:rPr>
          <w:rFonts w:hint="eastAsia" w:ascii="Calibri" w:hAnsi="Calibri" w:eastAsia="宋体" w:cs="Times New Roman"/>
          <w:kern w:val="2"/>
          <w:sz w:val="21"/>
          <w:szCs w:val="21"/>
          <w:highlight w:val="none"/>
          <w:lang w:val="en-US" w:eastAsia="zh-CN"/>
        </w:rPr>
        <w:fldChar w:fldCharType="end"/>
      </w:r>
    </w:p>
    <w:p w14:paraId="1696226D">
      <w:pPr>
        <w:pStyle w:val="58"/>
        <w:numPr>
          <w:ilvl w:val="0"/>
          <w:numId w:val="0"/>
        </w:numPr>
        <w:ind w:left="0" w:leftChars="0"/>
        <w:rPr>
          <w:rFonts w:hint="default"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10</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eastAsia" w:ascii="Calibri" w:hAnsi="Calibri" w:eastAsia="宋体" w:cs="Times New Roman"/>
          <w:kern w:val="2"/>
          <w:sz w:val="21"/>
          <w:szCs w:val="21"/>
          <w:highlight w:val="none"/>
          <w:lang w:val="en-US" w:eastAsia="zh-CN"/>
        </w:rPr>
        <w:t>化妆品生产经营监督管理办法</w:t>
      </w:r>
      <w:r>
        <w:rPr>
          <w:rFonts w:hint="eastAsia" w:ascii="Calibri" w:hAnsi="Calibri" w:eastAsia="宋体"/>
          <w:kern w:val="2"/>
          <w:sz w:val="21"/>
          <w:szCs w:val="21"/>
          <w:lang w:val="en-US" w:eastAsia="zh-CN"/>
        </w:rPr>
        <w:t>》（国家市场监督管理总局令第46号）</w:t>
      </w:r>
    </w:p>
    <w:p w14:paraId="6AD64CDA">
      <w:pPr>
        <w:pStyle w:val="58"/>
        <w:numPr>
          <w:ilvl w:val="0"/>
          <w:numId w:val="0"/>
        </w:numPr>
        <w:ind w:left="0" w:leftChars="0"/>
        <w:rPr>
          <w:rFonts w:hint="eastAsia"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11</w:t>
      </w:r>
      <w:r>
        <w:rPr>
          <w:rFonts w:hint="default" w:ascii="Calibri" w:hAnsi="Calibri" w:eastAsia="宋体"/>
          <w:kern w:val="2"/>
          <w:sz w:val="21"/>
          <w:szCs w:val="21"/>
          <w:lang w:val="en-US" w:eastAsia="zh-CN"/>
        </w:rPr>
        <w:t>]</w:t>
      </w:r>
      <w:r>
        <w:rPr>
          <w:rFonts w:hint="eastAsia" w:ascii="Calibri" w:hAnsi="Calibri" w:eastAsia="宋体" w:cs="Times New Roman"/>
          <w:kern w:val="2"/>
          <w:sz w:val="21"/>
          <w:szCs w:val="21"/>
          <w:highlight w:val="none"/>
          <w:lang w:val="en-US" w:eastAsia="zh-CN"/>
        </w:rPr>
        <w:t>《举报事项和热线事项处置管理办法（试行）》（鲁药监执法〔2019〕62 号）</w:t>
      </w:r>
    </w:p>
    <w:p w14:paraId="14AA6DC9">
      <w:pPr>
        <w:pStyle w:val="58"/>
        <w:numPr>
          <w:ilvl w:val="0"/>
          <w:numId w:val="0"/>
        </w:numPr>
        <w:ind w:left="0" w:leftChars="0"/>
        <w:rPr>
          <w:rFonts w:hint="default" w:ascii="Calibri" w:hAnsi="Calibri" w:eastAsia="宋体" w:cs="Times New Roman"/>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1</w:t>
      </w:r>
      <w:r>
        <w:rPr>
          <w:rFonts w:hint="eastAsia" w:ascii="Calibri" w:hAnsi="Calibri" w:eastAsia="宋体"/>
          <w:kern w:val="2"/>
          <w:sz w:val="21"/>
          <w:szCs w:val="21"/>
          <w:highlight w:val="none"/>
          <w:lang w:val="en-US" w:eastAsia="zh-CN"/>
        </w:rPr>
        <w:t>2</w:t>
      </w:r>
      <w:r>
        <w:rPr>
          <w:rFonts w:hint="default" w:ascii="Calibri" w:hAnsi="Calibri" w:eastAsia="宋体"/>
          <w:kern w:val="2"/>
          <w:sz w:val="21"/>
          <w:szCs w:val="21"/>
          <w:lang w:val="en-US" w:eastAsia="zh-CN"/>
        </w:rPr>
        <w:t>]</w:t>
      </w:r>
      <w:r>
        <w:rPr>
          <w:rFonts w:hint="eastAsia" w:ascii="Calibri" w:hAnsi="Calibri" w:eastAsia="宋体"/>
          <w:kern w:val="2"/>
          <w:sz w:val="21"/>
          <w:szCs w:val="21"/>
          <w:lang w:val="en-US" w:eastAsia="zh-CN"/>
        </w:rPr>
        <w:t>《</w:t>
      </w:r>
      <w:r>
        <w:rPr>
          <w:rFonts w:hint="default" w:ascii="Calibri" w:hAnsi="Calibri" w:eastAsia="宋体" w:cs="Times New Roman"/>
          <w:kern w:val="2"/>
          <w:sz w:val="21"/>
          <w:szCs w:val="21"/>
          <w:highlight w:val="none"/>
          <w:lang w:val="en-US" w:eastAsia="zh-CN"/>
        </w:rPr>
        <w:t>中华人民共和国政府信息公开条例</w:t>
      </w:r>
      <w:r>
        <w:rPr>
          <w:rFonts w:hint="eastAsia" w:ascii="Calibri" w:hAnsi="Calibri" w:eastAsia="宋体"/>
          <w:kern w:val="2"/>
          <w:sz w:val="21"/>
          <w:szCs w:val="21"/>
          <w:lang w:val="en-US" w:eastAsia="zh-CN"/>
        </w:rPr>
        <w:t>》（中华人民共和国国务院令（2019年）第711号）</w:t>
      </w:r>
    </w:p>
    <w:p w14:paraId="61FA13ED">
      <w:pPr>
        <w:pStyle w:val="41"/>
        <w:keepNext w:val="0"/>
        <w:keepLines w:val="0"/>
        <w:pageBreakBefore w:val="0"/>
        <w:widowControl/>
        <w:numPr>
          <w:ilvl w:val="2"/>
          <w:numId w:val="0"/>
        </w:numPr>
        <w:kinsoku/>
        <w:wordWrap/>
        <w:overflowPunct/>
        <w:topLinePunct w:val="0"/>
        <w:bidi w:val="0"/>
        <w:adjustRightInd/>
        <w:snapToGrid/>
        <w:spacing w:beforeLines="0" w:afterLines="0"/>
        <w:ind w:leftChars="0"/>
        <w:textAlignment w:val="auto"/>
        <w:outlineLvl w:val="9"/>
        <w:rPr>
          <w:rFonts w:hint="eastAsia"/>
          <w:lang w:val="en-US" w:eastAsia="zh-CN"/>
        </w:rPr>
      </w:pPr>
    </w:p>
    <w:p w14:paraId="25D1126B">
      <w:pPr>
        <w:pStyle w:val="38"/>
        <w:rPr>
          <w:rFonts w:hint="default"/>
          <w:lang w:val="en-US" w:eastAsia="zh-CN"/>
        </w:rPr>
      </w:pPr>
    </w:p>
    <w:p w14:paraId="0D453629">
      <w:pPr>
        <w:pStyle w:val="38"/>
        <w:rPr>
          <w:rFonts w:hint="default"/>
          <w:lang w:val="en-US" w:eastAsia="zh-CN"/>
        </w:rPr>
      </w:pPr>
    </w:p>
    <w:p w14:paraId="43B762A4">
      <w:pPr>
        <w:pStyle w:val="38"/>
        <w:rPr>
          <w:rFonts w:hint="default"/>
          <w:lang w:val="en-US" w:eastAsia="zh-CN"/>
        </w:rPr>
      </w:pPr>
    </w:p>
    <w:p w14:paraId="737FA27F">
      <w:pPr>
        <w:pStyle w:val="38"/>
        <w:rPr>
          <w:rFonts w:hint="default"/>
          <w:lang w:val="en-US" w:eastAsia="zh-CN"/>
        </w:rPr>
      </w:pPr>
    </w:p>
    <w:p w14:paraId="77213545">
      <w:pPr>
        <w:pStyle w:val="38"/>
        <w:ind w:left="0" w:leftChars="0" w:firstLine="0" w:firstLineChars="0"/>
        <w:rPr>
          <w:rFonts w:hint="default"/>
          <w:lang w:val="en-US" w:eastAsia="zh-CN"/>
        </w:rPr>
      </w:pPr>
    </w:p>
    <w:p w14:paraId="4EB9050B">
      <w:pPr>
        <w:pStyle w:val="38"/>
        <w:rPr>
          <w:rFonts w:hint="default"/>
          <w:lang w:val="en-US" w:eastAsia="zh-CN"/>
        </w:rPr>
      </w:pPr>
    </w:p>
    <w:p w14:paraId="5781B566">
      <w:pPr>
        <w:pStyle w:val="38"/>
        <w:rPr>
          <w:rFonts w:hint="default"/>
          <w:lang w:val="en-US" w:eastAsia="zh-CN"/>
        </w:rPr>
      </w:pPr>
    </w:p>
    <w:sectPr>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F2213">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7B043">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9161F">
    <w:pPr>
      <w:pStyle w:val="78"/>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A5A46">
    <w:pPr>
      <w:pStyle w:val="78"/>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0AE3F">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8F7FC">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B1A5D">
    <w:pPr>
      <w:pStyle w:val="86"/>
    </w:pPr>
    <w:r>
      <w:fldChar w:fldCharType="begin"/>
    </w:r>
    <w:r>
      <w:instrText xml:space="preserve"> STYLEREF  标准文件_文件编号  \* MERGEFORMAT </w:instrText>
    </w:r>
    <w:r>
      <w:fldChar w:fldCharType="separate"/>
    </w:r>
    <w:r>
      <w:t>DBXX/TXXXX—XXXX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C660A">
    <w:pPr>
      <w:pStyle w:val="19"/>
      <w:jc w:val="right"/>
      <w:rPr>
        <w:lang w:val="fr-FR"/>
      </w:rPr>
    </w:pPr>
    <w:r>
      <w:fldChar w:fldCharType="begin"/>
    </w:r>
    <w:r>
      <w:instrText xml:space="preserve"> STYLEREF  标准文件_文件编号  \* MERGEFORMAT </w:instrText>
    </w:r>
    <w:r>
      <w:fldChar w:fldCharType="separate"/>
    </w:r>
    <w:r>
      <w:t>DBXX/TXXXX—XXXX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F2405"/>
    <w:multiLevelType w:val="multilevel"/>
    <w:tmpl w:val="AFFF2405"/>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E7F7D409"/>
    <w:multiLevelType w:val="multilevel"/>
    <w:tmpl w:val="E7F7D40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2837933"/>
    <w:multiLevelType w:val="multilevel"/>
    <w:tmpl w:val="02837933"/>
    <w:lvl w:ilvl="0" w:tentative="0">
      <w:start w:val="1"/>
      <w:numFmt w:val="decimal"/>
      <w:pStyle w:val="8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70"/>
      <w:suff w:val="nothing"/>
      <w:lvlText w:val="%1%2.%3　"/>
      <w:lvlJc w:val="left"/>
      <w:pPr>
        <w:ind w:left="0" w:firstLine="0"/>
      </w:pPr>
    </w:lvl>
    <w:lvl w:ilvl="3" w:tentative="0">
      <w:start w:val="1"/>
      <w:numFmt w:val="decimal"/>
      <w:pStyle w:val="130"/>
      <w:suff w:val="nothing"/>
      <w:lvlText w:val="%1%2.%3.%4　"/>
      <w:lvlJc w:val="left"/>
      <w:pPr>
        <w:ind w:left="0" w:firstLine="0"/>
      </w:pPr>
    </w:lvl>
    <w:lvl w:ilvl="4" w:tentative="0">
      <w:start w:val="1"/>
      <w:numFmt w:val="decimal"/>
      <w:pStyle w:val="164"/>
      <w:suff w:val="nothing"/>
      <w:lvlText w:val="%1%2.%3.%4.%5　"/>
      <w:lvlJc w:val="left"/>
      <w:pPr>
        <w:ind w:left="0" w:firstLine="0"/>
      </w:pPr>
    </w:lvl>
    <w:lvl w:ilvl="5" w:tentative="0">
      <w:start w:val="1"/>
      <w:numFmt w:val="decimal"/>
      <w:pStyle w:val="166"/>
      <w:suff w:val="nothing"/>
      <w:lvlText w:val="%1%2.%3.%4.%5.%6　"/>
      <w:lvlJc w:val="left"/>
      <w:pPr>
        <w:ind w:left="0" w:firstLine="0"/>
      </w:pPr>
    </w:lvl>
    <w:lvl w:ilvl="6" w:tentative="0">
      <w:start w:val="1"/>
      <w:numFmt w:val="decimal"/>
      <w:pStyle w:val="16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58"/>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106"/>
      <w:lvlText w:val="%1"/>
      <w:lvlJc w:val="left"/>
      <w:pPr>
        <w:ind w:left="425" w:hanging="425"/>
      </w:pPr>
      <w:rPr>
        <w:rFonts w:hint="eastAsia"/>
      </w:rPr>
    </w:lvl>
    <w:lvl w:ilvl="1" w:tentative="0">
      <w:start w:val="1"/>
      <w:numFmt w:val="decimal"/>
      <w:pStyle w:val="206"/>
      <w:suff w:val="nothing"/>
      <w:lvlText w:val="%10.%2 "/>
      <w:lvlJc w:val="left"/>
      <w:pPr>
        <w:ind w:left="0" w:firstLine="0"/>
      </w:pPr>
      <w:rPr>
        <w:rFonts w:hint="eastAsia" w:ascii="黑体" w:eastAsia="黑体" w:hAnsiTheme="minorHAnsi"/>
        <w:b w:val="0"/>
        <w:i w:val="0"/>
        <w:sz w:val="21"/>
      </w:rPr>
    </w:lvl>
    <w:lvl w:ilvl="2" w:tentative="0">
      <w:start w:val="1"/>
      <w:numFmt w:val="decimal"/>
      <w:pStyle w:val="207"/>
      <w:suff w:val="nothing"/>
      <w:lvlText w:val="%10.%2.%3 "/>
      <w:lvlJc w:val="left"/>
      <w:pPr>
        <w:ind w:left="0" w:firstLine="0"/>
      </w:pPr>
      <w:rPr>
        <w:rFonts w:hint="eastAsia" w:ascii="黑体" w:eastAsia="黑体" w:hAnsiTheme="minorHAnsi"/>
        <w:b w:val="0"/>
        <w:i w:val="0"/>
        <w:sz w:val="21"/>
      </w:rPr>
    </w:lvl>
    <w:lvl w:ilvl="3" w:tentative="0">
      <w:start w:val="1"/>
      <w:numFmt w:val="decimal"/>
      <w:pStyle w:val="208"/>
      <w:suff w:val="nothing"/>
      <w:lvlText w:val="%10.%2.%3.%4 "/>
      <w:lvlJc w:val="left"/>
      <w:pPr>
        <w:ind w:left="0" w:firstLine="0"/>
      </w:pPr>
      <w:rPr>
        <w:rFonts w:hint="eastAsia" w:ascii="黑体" w:eastAsia="黑体" w:hAnsiTheme="minorHAnsi"/>
        <w:b w:val="0"/>
        <w:i w:val="0"/>
        <w:sz w:val="21"/>
      </w:rPr>
    </w:lvl>
    <w:lvl w:ilvl="4" w:tentative="0">
      <w:start w:val="1"/>
      <w:numFmt w:val="decimal"/>
      <w:pStyle w:val="209"/>
      <w:suff w:val="nothing"/>
      <w:lvlText w:val="%10.%2.%3.%4.%5 "/>
      <w:lvlJc w:val="left"/>
      <w:pPr>
        <w:ind w:left="0" w:firstLine="0"/>
      </w:pPr>
      <w:rPr>
        <w:rFonts w:hint="eastAsia" w:ascii="黑体" w:eastAsia="黑体" w:hAnsiTheme="minorHAnsi"/>
        <w:b w:val="0"/>
        <w:i w:val="0"/>
        <w:sz w:val="21"/>
      </w:rPr>
    </w:lvl>
    <w:lvl w:ilvl="5" w:tentative="0">
      <w:start w:val="1"/>
      <w:numFmt w:val="decimal"/>
      <w:pStyle w:val="210"/>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8"/>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9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2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102"/>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109"/>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4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4"/>
      <w:lvlText w:val=""/>
      <w:lvlJc w:val="left"/>
      <w:pPr>
        <w:ind w:left="851" w:hanging="431"/>
      </w:pPr>
      <w:rPr>
        <w:rFonts w:hint="default" w:ascii="Symbol" w:hAnsi="Symbol"/>
        <w:sz w:val="21"/>
      </w:rPr>
    </w:lvl>
    <w:lvl w:ilvl="2" w:tentative="0">
      <w:start w:val="1"/>
      <w:numFmt w:val="bullet"/>
      <w:pStyle w:val="18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1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49"/>
      <w:lvlText w:val="%1)"/>
      <w:lvlJc w:val="left"/>
      <w:pPr>
        <w:tabs>
          <w:tab w:val="left" w:pos="851"/>
        </w:tabs>
        <w:ind w:left="851" w:hanging="426"/>
      </w:pPr>
      <w:rPr>
        <w:rFonts w:hint="eastAsia" w:ascii="宋体" w:hAnsi="Times New Roman" w:eastAsia="宋体"/>
        <w:sz w:val="21"/>
      </w:rPr>
    </w:lvl>
    <w:lvl w:ilvl="1" w:tentative="0">
      <w:start w:val="1"/>
      <w:numFmt w:val="decimal"/>
      <w:pStyle w:val="121"/>
      <w:lvlText w:val="%2)"/>
      <w:lvlJc w:val="left"/>
      <w:pPr>
        <w:tabs>
          <w:tab w:val="left" w:pos="1276"/>
        </w:tabs>
        <w:ind w:left="1276" w:hanging="425"/>
      </w:pPr>
      <w:rPr>
        <w:rFonts w:hint="eastAsia" w:ascii="宋体" w:hAnsi="Times New Roman" w:eastAsia="宋体"/>
        <w:sz w:val="21"/>
      </w:rPr>
    </w:lvl>
    <w:lvl w:ilvl="2" w:tentative="0">
      <w:start w:val="1"/>
      <w:numFmt w:val="decimal"/>
      <w:pStyle w:val="12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5"/>
      <w:lvlText w:val="%1"/>
      <w:lvlJc w:val="left"/>
      <w:pPr>
        <w:ind w:left="420" w:hanging="420"/>
      </w:pPr>
      <w:rPr>
        <w:rFonts w:hint="eastAsia"/>
      </w:rPr>
    </w:lvl>
    <w:lvl w:ilvl="1" w:tentative="0">
      <w:start w:val="1"/>
      <w:numFmt w:val="decimal"/>
      <w:pStyle w:val="101"/>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90"/>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2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110"/>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2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59"/>
      <w:suff w:val="space"/>
      <w:lvlText w:val="%1"/>
      <w:lvlJc w:val="left"/>
      <w:pPr>
        <w:ind w:left="425" w:hanging="425"/>
      </w:pPr>
      <w:rPr>
        <w:rFonts w:hint="eastAsia"/>
      </w:rPr>
    </w:lvl>
    <w:lvl w:ilvl="1" w:tentative="0">
      <w:start w:val="1"/>
      <w:numFmt w:val="decimal"/>
      <w:pStyle w:val="5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2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2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6"/>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55"/>
      <w:suff w:val="nothing"/>
      <w:lvlText w:val="附录%1"/>
      <w:lvlJc w:val="left"/>
      <w:pPr>
        <w:ind w:left="0" w:firstLine="0"/>
      </w:pPr>
      <w:rPr>
        <w:rFonts w:hint="eastAsia"/>
        <w:spacing w:val="100"/>
      </w:rPr>
    </w:lvl>
    <w:lvl w:ilvl="1" w:tentative="0">
      <w:start w:val="1"/>
      <w:numFmt w:val="decimal"/>
      <w:pStyle w:val="44"/>
      <w:suff w:val="nothing"/>
      <w:lvlText w:val="%1.%2　"/>
      <w:lvlJc w:val="left"/>
      <w:pPr>
        <w:ind w:left="0" w:firstLine="0"/>
      </w:pPr>
      <w:rPr>
        <w:rFonts w:hint="eastAsia" w:ascii="黑体" w:eastAsia="黑体"/>
        <w:b w:val="0"/>
        <w:i w:val="0"/>
        <w:sz w:val="21"/>
      </w:rPr>
    </w:lvl>
    <w:lvl w:ilvl="2" w:tentative="0">
      <w:start w:val="1"/>
      <w:numFmt w:val="decimal"/>
      <w:pStyle w:val="45"/>
      <w:suff w:val="nothing"/>
      <w:lvlText w:val="%1.%2.%3　"/>
      <w:lvlJc w:val="left"/>
      <w:pPr>
        <w:ind w:left="0" w:firstLine="0"/>
      </w:pPr>
      <w:rPr>
        <w:rFonts w:hint="eastAsia" w:ascii="黑体" w:eastAsia="黑体"/>
        <w:b w:val="0"/>
        <w:i w:val="0"/>
        <w:sz w:val="21"/>
      </w:rPr>
    </w:lvl>
    <w:lvl w:ilvl="3" w:tentative="0">
      <w:start w:val="1"/>
      <w:numFmt w:val="decimal"/>
      <w:pStyle w:val="56"/>
      <w:suff w:val="nothing"/>
      <w:lvlText w:val="%1.%2.%3.%4　"/>
      <w:lvlJc w:val="left"/>
      <w:pPr>
        <w:ind w:left="0" w:firstLine="0"/>
      </w:pPr>
      <w:rPr>
        <w:rFonts w:hint="eastAsia" w:ascii="黑体" w:eastAsia="黑体"/>
        <w:b w:val="0"/>
        <w:i w:val="0"/>
        <w:sz w:val="21"/>
      </w:rPr>
    </w:lvl>
    <w:lvl w:ilvl="4" w:tentative="0">
      <w:start w:val="1"/>
      <w:numFmt w:val="decimal"/>
      <w:pStyle w:val="46"/>
      <w:suff w:val="nothing"/>
      <w:lvlText w:val="%1.%2.%3.%4.%5　"/>
      <w:lvlJc w:val="left"/>
      <w:pPr>
        <w:ind w:left="0" w:firstLine="0"/>
      </w:pPr>
      <w:rPr>
        <w:rFonts w:hint="eastAsia" w:ascii="黑体" w:eastAsia="黑体"/>
        <w:b w:val="0"/>
        <w:i w:val="0"/>
        <w:sz w:val="21"/>
      </w:rPr>
    </w:lvl>
    <w:lvl w:ilvl="5" w:tentative="0">
      <w:start w:val="1"/>
      <w:numFmt w:val="decimal"/>
      <w:pStyle w:val="4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5"/>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113"/>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8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40"/>
      <w:suff w:val="nothing"/>
      <w:lvlText w:val="%1"/>
      <w:lvlJc w:val="left"/>
      <w:pPr>
        <w:ind w:left="0" w:firstLine="0"/>
      </w:pPr>
      <w:rPr>
        <w:rFonts w:hint="eastAsia"/>
      </w:rPr>
    </w:lvl>
    <w:lvl w:ilvl="1" w:tentative="0">
      <w:start w:val="1"/>
      <w:numFmt w:val="decimal"/>
      <w:pStyle w:val="39"/>
      <w:suff w:val="nothing"/>
      <w:lvlText w:val="%1%2　"/>
      <w:lvlJc w:val="left"/>
      <w:pPr>
        <w:ind w:left="0" w:firstLine="0"/>
      </w:pPr>
      <w:rPr>
        <w:rFonts w:hint="eastAsia" w:ascii="黑体" w:eastAsia="黑体"/>
        <w:b w:val="0"/>
        <w:i w:val="0"/>
        <w:sz w:val="21"/>
      </w:rPr>
    </w:lvl>
    <w:lvl w:ilvl="2" w:tentative="0">
      <w:start w:val="1"/>
      <w:numFmt w:val="decimal"/>
      <w:pStyle w:val="4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37"/>
      <w:suff w:val="nothing"/>
      <w:lvlText w:val="%1%2.%3.%4　"/>
      <w:lvlJc w:val="left"/>
      <w:pPr>
        <w:ind w:left="0" w:firstLine="0"/>
      </w:pPr>
      <w:rPr>
        <w:rFonts w:hint="eastAsia" w:ascii="黑体" w:eastAsia="黑体"/>
        <w:b w:val="0"/>
        <w:i w:val="0"/>
        <w:sz w:val="21"/>
      </w:rPr>
    </w:lvl>
    <w:lvl w:ilvl="4" w:tentative="0">
      <w:start w:val="1"/>
      <w:numFmt w:val="decimal"/>
      <w:pStyle w:val="36"/>
      <w:suff w:val="nothing"/>
      <w:lvlText w:val="%1%2.%3.%4.%5　"/>
      <w:lvlJc w:val="left"/>
      <w:pPr>
        <w:ind w:left="0" w:firstLine="0"/>
      </w:pPr>
      <w:rPr>
        <w:rFonts w:hint="eastAsia" w:ascii="黑体" w:eastAsia="黑体"/>
        <w:b w:val="0"/>
        <w:i w:val="0"/>
        <w:sz w:val="21"/>
      </w:rPr>
    </w:lvl>
    <w:lvl w:ilvl="5" w:tentative="0">
      <w:start w:val="1"/>
      <w:numFmt w:val="decimal"/>
      <w:pStyle w:val="42"/>
      <w:suff w:val="nothing"/>
      <w:lvlText w:val="%1%2.%3.%4.%5.%6　"/>
      <w:lvlJc w:val="left"/>
      <w:pPr>
        <w:ind w:left="0" w:firstLine="0"/>
      </w:pPr>
      <w:rPr>
        <w:rFonts w:hint="eastAsia" w:ascii="黑体" w:eastAsia="黑体"/>
        <w:b w:val="0"/>
        <w:i w:val="0"/>
        <w:sz w:val="21"/>
      </w:rPr>
    </w:lvl>
    <w:lvl w:ilvl="6" w:tentative="0">
      <w:start w:val="1"/>
      <w:numFmt w:val="decimal"/>
      <w:pStyle w:val="4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5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2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5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9"/>
  </w:num>
  <w:num w:numId="2">
    <w:abstractNumId w:val="25"/>
  </w:num>
  <w:num w:numId="3">
    <w:abstractNumId w:val="14"/>
  </w:num>
  <w:num w:numId="4">
    <w:abstractNumId w:val="30"/>
  </w:num>
  <w:num w:numId="5">
    <w:abstractNumId w:val="20"/>
  </w:num>
  <w:num w:numId="6">
    <w:abstractNumId w:val="4"/>
  </w:num>
  <w:num w:numId="7">
    <w:abstractNumId w:val="2"/>
  </w:num>
  <w:num w:numId="8">
    <w:abstractNumId w:val="7"/>
  </w:num>
  <w:num w:numId="9">
    <w:abstractNumId w:val="15"/>
  </w:num>
  <w:num w:numId="10">
    <w:abstractNumId w:val="10"/>
  </w:num>
  <w:num w:numId="11">
    <w:abstractNumId w:val="5"/>
  </w:num>
  <w:num w:numId="12">
    <w:abstractNumId w:val="11"/>
  </w:num>
  <w:num w:numId="13">
    <w:abstractNumId w:val="18"/>
  </w:num>
  <w:num w:numId="14">
    <w:abstractNumId w:val="27"/>
  </w:num>
  <w:num w:numId="15">
    <w:abstractNumId w:val="13"/>
  </w:num>
  <w:num w:numId="16">
    <w:abstractNumId w:val="9"/>
  </w:num>
  <w:num w:numId="17">
    <w:abstractNumId w:val="21"/>
  </w:num>
  <w:num w:numId="18">
    <w:abstractNumId w:val="23"/>
  </w:num>
  <w:num w:numId="19">
    <w:abstractNumId w:val="19"/>
  </w:num>
  <w:num w:numId="20">
    <w:abstractNumId w:val="31"/>
  </w:num>
  <w:num w:numId="21">
    <w:abstractNumId w:val="17"/>
  </w:num>
  <w:num w:numId="22">
    <w:abstractNumId w:val="3"/>
  </w:num>
  <w:num w:numId="23">
    <w:abstractNumId w:val="12"/>
  </w:num>
  <w:num w:numId="24">
    <w:abstractNumId w:val="32"/>
  </w:num>
  <w:num w:numId="25">
    <w:abstractNumId w:val="22"/>
  </w:num>
  <w:num w:numId="26">
    <w:abstractNumId w:val="8"/>
  </w:num>
  <w:num w:numId="27">
    <w:abstractNumId w:val="28"/>
  </w:num>
  <w:num w:numId="28">
    <w:abstractNumId w:val="6"/>
  </w:num>
  <w:num w:numId="29">
    <w:abstractNumId w:val="16"/>
  </w:num>
  <w:num w:numId="30">
    <w:abstractNumId w:val="26"/>
  </w:num>
  <w:num w:numId="31">
    <w:abstractNumId w:val="24"/>
  </w:num>
  <w:num w:numId="32">
    <w:abstractNumId w:val="1"/>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Mjc5YWFkNmM2MGZkNGVmZmRjNzc4NDEyZDJmMWUifQ=="/>
  </w:docVars>
  <w:rsids>
    <w:rsidRoot w:val="00374A9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32"/>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BD5"/>
    <w:rsid w:val="000A7311"/>
    <w:rsid w:val="000B060F"/>
    <w:rsid w:val="000B1592"/>
    <w:rsid w:val="000B1FF2"/>
    <w:rsid w:val="000B3CDA"/>
    <w:rsid w:val="000B6A0B"/>
    <w:rsid w:val="000C0F6C"/>
    <w:rsid w:val="000C11DB"/>
    <w:rsid w:val="000C1492"/>
    <w:rsid w:val="000C195A"/>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9B6"/>
    <w:rsid w:val="0019348F"/>
    <w:rsid w:val="00193A07"/>
    <w:rsid w:val="00194C95"/>
    <w:rsid w:val="00195C34"/>
    <w:rsid w:val="00196EF5"/>
    <w:rsid w:val="001A1A53"/>
    <w:rsid w:val="001A234A"/>
    <w:rsid w:val="001A4CF3"/>
    <w:rsid w:val="001B02D2"/>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634"/>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BD1"/>
    <w:rsid w:val="002B4508"/>
    <w:rsid w:val="002B5779"/>
    <w:rsid w:val="002B7332"/>
    <w:rsid w:val="002B7F51"/>
    <w:rsid w:val="002C09E7"/>
    <w:rsid w:val="002C1E06"/>
    <w:rsid w:val="002C1E1C"/>
    <w:rsid w:val="002C3F07"/>
    <w:rsid w:val="002C5278"/>
    <w:rsid w:val="002C7EBB"/>
    <w:rsid w:val="002D06C1"/>
    <w:rsid w:val="002D30D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A94"/>
    <w:rsid w:val="00376713"/>
    <w:rsid w:val="00381815"/>
    <w:rsid w:val="003819AF"/>
    <w:rsid w:val="003820E9"/>
    <w:rsid w:val="00382DE7"/>
    <w:rsid w:val="00384FFC"/>
    <w:rsid w:val="003872FC"/>
    <w:rsid w:val="00387ADC"/>
    <w:rsid w:val="00387EF7"/>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7C2"/>
    <w:rsid w:val="00541853"/>
    <w:rsid w:val="00543BDA"/>
    <w:rsid w:val="005441CC"/>
    <w:rsid w:val="005479DA"/>
    <w:rsid w:val="00547BCC"/>
    <w:rsid w:val="0055013B"/>
    <w:rsid w:val="00551F6F"/>
    <w:rsid w:val="00554BFA"/>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16C"/>
    <w:rsid w:val="005B4903"/>
    <w:rsid w:val="005B51CE"/>
    <w:rsid w:val="005B5885"/>
    <w:rsid w:val="005B5CD7"/>
    <w:rsid w:val="005B6CF6"/>
    <w:rsid w:val="005B7422"/>
    <w:rsid w:val="005C29B8"/>
    <w:rsid w:val="005C5F21"/>
    <w:rsid w:val="005C7156"/>
    <w:rsid w:val="005D0C75"/>
    <w:rsid w:val="005D163F"/>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37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0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6A9"/>
    <w:rsid w:val="00783ECF"/>
    <w:rsid w:val="0078413A"/>
    <w:rsid w:val="00784451"/>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8A2"/>
    <w:rsid w:val="007C1E8B"/>
    <w:rsid w:val="007C213F"/>
    <w:rsid w:val="007C2D89"/>
    <w:rsid w:val="007C4593"/>
    <w:rsid w:val="007C5309"/>
    <w:rsid w:val="007C6069"/>
    <w:rsid w:val="007D06C4"/>
    <w:rsid w:val="007D1352"/>
    <w:rsid w:val="007D2508"/>
    <w:rsid w:val="007D2F0E"/>
    <w:rsid w:val="007D346A"/>
    <w:rsid w:val="007D6518"/>
    <w:rsid w:val="007D76BD"/>
    <w:rsid w:val="007E0BF1"/>
    <w:rsid w:val="007F0ED8"/>
    <w:rsid w:val="007F0F63"/>
    <w:rsid w:val="007F70F7"/>
    <w:rsid w:val="007F75CE"/>
    <w:rsid w:val="008013A4"/>
    <w:rsid w:val="008027CE"/>
    <w:rsid w:val="00802D91"/>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639"/>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89A"/>
    <w:rsid w:val="008A6F81"/>
    <w:rsid w:val="008A769A"/>
    <w:rsid w:val="008B0C9C"/>
    <w:rsid w:val="008B166D"/>
    <w:rsid w:val="008B17F4"/>
    <w:rsid w:val="008B3615"/>
    <w:rsid w:val="008B4AC4"/>
    <w:rsid w:val="008B50C8"/>
    <w:rsid w:val="008B5281"/>
    <w:rsid w:val="008B7E05"/>
    <w:rsid w:val="008C1797"/>
    <w:rsid w:val="008C219C"/>
    <w:rsid w:val="008C422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B2E"/>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D4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347"/>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F09"/>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4B11"/>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847"/>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97E"/>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E41"/>
    <w:rsid w:val="00D51BF3"/>
    <w:rsid w:val="00D66846"/>
    <w:rsid w:val="00D675FB"/>
    <w:rsid w:val="00D677BE"/>
    <w:rsid w:val="00D71F25"/>
    <w:rsid w:val="00D72A9C"/>
    <w:rsid w:val="00D77031"/>
    <w:rsid w:val="00D84941"/>
    <w:rsid w:val="00D84FA1"/>
    <w:rsid w:val="00D851F0"/>
    <w:rsid w:val="00D86DB7"/>
    <w:rsid w:val="00D926D0"/>
    <w:rsid w:val="00D93030"/>
    <w:rsid w:val="00D950E1"/>
    <w:rsid w:val="00D952A6"/>
    <w:rsid w:val="00D97F99"/>
    <w:rsid w:val="00DA0E00"/>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2B2"/>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184F"/>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57E"/>
    <w:rsid w:val="00FE1FBE"/>
    <w:rsid w:val="00FE3901"/>
    <w:rsid w:val="00FE39D3"/>
    <w:rsid w:val="00FE4BCE"/>
    <w:rsid w:val="00FE54AE"/>
    <w:rsid w:val="00FE576A"/>
    <w:rsid w:val="00FE7E79"/>
    <w:rsid w:val="00FF3E7D"/>
    <w:rsid w:val="00FF5B99"/>
    <w:rsid w:val="00FF730C"/>
    <w:rsid w:val="00FF73F4"/>
    <w:rsid w:val="00FF7CE4"/>
    <w:rsid w:val="00FF7E39"/>
    <w:rsid w:val="01DF0CC3"/>
    <w:rsid w:val="03B11FA7"/>
    <w:rsid w:val="03EA2651"/>
    <w:rsid w:val="03FE0000"/>
    <w:rsid w:val="040403E3"/>
    <w:rsid w:val="04051C37"/>
    <w:rsid w:val="04642BB9"/>
    <w:rsid w:val="05996340"/>
    <w:rsid w:val="05A234D4"/>
    <w:rsid w:val="05A30F51"/>
    <w:rsid w:val="05CD3FD8"/>
    <w:rsid w:val="06344370"/>
    <w:rsid w:val="089E4450"/>
    <w:rsid w:val="09907633"/>
    <w:rsid w:val="0A334D52"/>
    <w:rsid w:val="0A475B95"/>
    <w:rsid w:val="0A8D4F5C"/>
    <w:rsid w:val="0AD34700"/>
    <w:rsid w:val="0B1F28CF"/>
    <w:rsid w:val="0CBC025F"/>
    <w:rsid w:val="0D6E777E"/>
    <w:rsid w:val="0EF6497D"/>
    <w:rsid w:val="0F615AF6"/>
    <w:rsid w:val="0F733152"/>
    <w:rsid w:val="10E13C2D"/>
    <w:rsid w:val="11382C4E"/>
    <w:rsid w:val="126D2DCB"/>
    <w:rsid w:val="12A12A75"/>
    <w:rsid w:val="130A5CD2"/>
    <w:rsid w:val="13541895"/>
    <w:rsid w:val="1360648C"/>
    <w:rsid w:val="146B5B8E"/>
    <w:rsid w:val="15BE032B"/>
    <w:rsid w:val="169A72D6"/>
    <w:rsid w:val="18E831AB"/>
    <w:rsid w:val="1A047787"/>
    <w:rsid w:val="1ADF3378"/>
    <w:rsid w:val="1AFD18F6"/>
    <w:rsid w:val="1B3D7975"/>
    <w:rsid w:val="1BD45351"/>
    <w:rsid w:val="1C136791"/>
    <w:rsid w:val="1C307FF3"/>
    <w:rsid w:val="1DD07951"/>
    <w:rsid w:val="1EB9816D"/>
    <w:rsid w:val="1F5F26B4"/>
    <w:rsid w:val="1F6FBC21"/>
    <w:rsid w:val="1F7B1C4D"/>
    <w:rsid w:val="2020098F"/>
    <w:rsid w:val="20280331"/>
    <w:rsid w:val="2081427B"/>
    <w:rsid w:val="20A420AE"/>
    <w:rsid w:val="20BD69A3"/>
    <w:rsid w:val="20EE4328"/>
    <w:rsid w:val="215D78E9"/>
    <w:rsid w:val="220A23E4"/>
    <w:rsid w:val="23A44173"/>
    <w:rsid w:val="23CB774D"/>
    <w:rsid w:val="23E34C9B"/>
    <w:rsid w:val="25365294"/>
    <w:rsid w:val="2572277A"/>
    <w:rsid w:val="25CE46ED"/>
    <w:rsid w:val="25F211C5"/>
    <w:rsid w:val="28247630"/>
    <w:rsid w:val="292A182B"/>
    <w:rsid w:val="2A854104"/>
    <w:rsid w:val="2A930A9D"/>
    <w:rsid w:val="2AF128FC"/>
    <w:rsid w:val="2C442471"/>
    <w:rsid w:val="2C8C66EB"/>
    <w:rsid w:val="2CC413E2"/>
    <w:rsid w:val="2D1E4F96"/>
    <w:rsid w:val="2D213248"/>
    <w:rsid w:val="2DDB4C35"/>
    <w:rsid w:val="2E2B3CC0"/>
    <w:rsid w:val="2F3BC737"/>
    <w:rsid w:val="2FC615F6"/>
    <w:rsid w:val="2FF3270A"/>
    <w:rsid w:val="317433D6"/>
    <w:rsid w:val="341E6B55"/>
    <w:rsid w:val="34FFE767"/>
    <w:rsid w:val="354B2E58"/>
    <w:rsid w:val="358D2CB9"/>
    <w:rsid w:val="36405F7D"/>
    <w:rsid w:val="36883480"/>
    <w:rsid w:val="371F1829"/>
    <w:rsid w:val="373B705A"/>
    <w:rsid w:val="379567F1"/>
    <w:rsid w:val="37ABBC8A"/>
    <w:rsid w:val="37BC6761"/>
    <w:rsid w:val="37FFF1CA"/>
    <w:rsid w:val="38CB08B0"/>
    <w:rsid w:val="38E19940"/>
    <w:rsid w:val="39C77937"/>
    <w:rsid w:val="3AFFABC5"/>
    <w:rsid w:val="3B2060F4"/>
    <w:rsid w:val="3B380F6D"/>
    <w:rsid w:val="3B9D79CE"/>
    <w:rsid w:val="3BB234DD"/>
    <w:rsid w:val="3BB9CE3D"/>
    <w:rsid w:val="3BFF42D3"/>
    <w:rsid w:val="3DF962FA"/>
    <w:rsid w:val="3EA80B63"/>
    <w:rsid w:val="3EDB19DF"/>
    <w:rsid w:val="3EE81E8F"/>
    <w:rsid w:val="3F9C69E3"/>
    <w:rsid w:val="3FA5BA80"/>
    <w:rsid w:val="3FEC5E4D"/>
    <w:rsid w:val="3FFF356B"/>
    <w:rsid w:val="410A456A"/>
    <w:rsid w:val="42BA6B8A"/>
    <w:rsid w:val="42E40118"/>
    <w:rsid w:val="42F51426"/>
    <w:rsid w:val="432D7889"/>
    <w:rsid w:val="43482915"/>
    <w:rsid w:val="43FBB7C2"/>
    <w:rsid w:val="447F1AE2"/>
    <w:rsid w:val="45EC7588"/>
    <w:rsid w:val="461B60BF"/>
    <w:rsid w:val="48C8034C"/>
    <w:rsid w:val="48F245E7"/>
    <w:rsid w:val="49244706"/>
    <w:rsid w:val="49B77443"/>
    <w:rsid w:val="49D71C17"/>
    <w:rsid w:val="4BA6696F"/>
    <w:rsid w:val="4D01154E"/>
    <w:rsid w:val="4D6F681E"/>
    <w:rsid w:val="4DDE00FE"/>
    <w:rsid w:val="4DE80F7C"/>
    <w:rsid w:val="4EF59A9F"/>
    <w:rsid w:val="500D4CCA"/>
    <w:rsid w:val="512344F5"/>
    <w:rsid w:val="51DF61F2"/>
    <w:rsid w:val="521F224C"/>
    <w:rsid w:val="52ED493F"/>
    <w:rsid w:val="5593132A"/>
    <w:rsid w:val="55F98A33"/>
    <w:rsid w:val="57742FA8"/>
    <w:rsid w:val="57CE43BD"/>
    <w:rsid w:val="58006EC2"/>
    <w:rsid w:val="59C26B25"/>
    <w:rsid w:val="5A2F1CE1"/>
    <w:rsid w:val="5ABC3575"/>
    <w:rsid w:val="5B7E8840"/>
    <w:rsid w:val="5BEB63C1"/>
    <w:rsid w:val="5CE275AA"/>
    <w:rsid w:val="5D2E7F42"/>
    <w:rsid w:val="5D5B7E2C"/>
    <w:rsid w:val="5DB808E5"/>
    <w:rsid w:val="5DC40C41"/>
    <w:rsid w:val="5DCFE1CF"/>
    <w:rsid w:val="5DFE0778"/>
    <w:rsid w:val="5E9350F4"/>
    <w:rsid w:val="5FEF04C2"/>
    <w:rsid w:val="618A2BD2"/>
    <w:rsid w:val="62612C54"/>
    <w:rsid w:val="6329551F"/>
    <w:rsid w:val="63CD3311"/>
    <w:rsid w:val="63EE0517"/>
    <w:rsid w:val="64DB51FE"/>
    <w:rsid w:val="64FA40E7"/>
    <w:rsid w:val="6646463A"/>
    <w:rsid w:val="66CA7019"/>
    <w:rsid w:val="670A6FBE"/>
    <w:rsid w:val="67EF73EE"/>
    <w:rsid w:val="67F62EF3"/>
    <w:rsid w:val="68FDCCA5"/>
    <w:rsid w:val="6B8032E0"/>
    <w:rsid w:val="6BF768FB"/>
    <w:rsid w:val="6C4C56C0"/>
    <w:rsid w:val="6CF5564F"/>
    <w:rsid w:val="6D205BE5"/>
    <w:rsid w:val="6D576713"/>
    <w:rsid w:val="6F7B0B20"/>
    <w:rsid w:val="6F8A5598"/>
    <w:rsid w:val="6FBFAC81"/>
    <w:rsid w:val="6FEA334D"/>
    <w:rsid w:val="6FFD0E37"/>
    <w:rsid w:val="6FFF6573"/>
    <w:rsid w:val="6FFF8FED"/>
    <w:rsid w:val="70A45565"/>
    <w:rsid w:val="70AE52B6"/>
    <w:rsid w:val="72EFD949"/>
    <w:rsid w:val="72F46EB2"/>
    <w:rsid w:val="73215592"/>
    <w:rsid w:val="73BE35C5"/>
    <w:rsid w:val="73FFB299"/>
    <w:rsid w:val="74730EA3"/>
    <w:rsid w:val="749C1354"/>
    <w:rsid w:val="74D568D3"/>
    <w:rsid w:val="74EFDA6E"/>
    <w:rsid w:val="75040D1F"/>
    <w:rsid w:val="756E5FD2"/>
    <w:rsid w:val="75B90985"/>
    <w:rsid w:val="75F74F01"/>
    <w:rsid w:val="764D5F4E"/>
    <w:rsid w:val="76AA7AA2"/>
    <w:rsid w:val="79EC730E"/>
    <w:rsid w:val="7A7FE3C0"/>
    <w:rsid w:val="7B5F5AB6"/>
    <w:rsid w:val="7BFDD696"/>
    <w:rsid w:val="7BFE7C57"/>
    <w:rsid w:val="7C044924"/>
    <w:rsid w:val="7C776EA4"/>
    <w:rsid w:val="7D667AEF"/>
    <w:rsid w:val="7D6B248F"/>
    <w:rsid w:val="7DBB6097"/>
    <w:rsid w:val="7DBD253B"/>
    <w:rsid w:val="7DC490A8"/>
    <w:rsid w:val="7DC943AA"/>
    <w:rsid w:val="7DFFA6BB"/>
    <w:rsid w:val="7EFCD149"/>
    <w:rsid w:val="7F5C5120"/>
    <w:rsid w:val="7F879A73"/>
    <w:rsid w:val="7FB54EE8"/>
    <w:rsid w:val="7FBB3370"/>
    <w:rsid w:val="7FBF321D"/>
    <w:rsid w:val="7FF94CA3"/>
    <w:rsid w:val="7FF9B867"/>
    <w:rsid w:val="7FFBA7AF"/>
    <w:rsid w:val="7FFCED2D"/>
    <w:rsid w:val="7FFDA1A4"/>
    <w:rsid w:val="7FFF6783"/>
    <w:rsid w:val="89EFA9EF"/>
    <w:rsid w:val="8F5E9D62"/>
    <w:rsid w:val="A5FD7F78"/>
    <w:rsid w:val="A9C16CFE"/>
    <w:rsid w:val="ACEB8DCD"/>
    <w:rsid w:val="ADEF2941"/>
    <w:rsid w:val="AFFBDCA0"/>
    <w:rsid w:val="B537D2D5"/>
    <w:rsid w:val="B7F10041"/>
    <w:rsid w:val="B9DFFB6C"/>
    <w:rsid w:val="BBBDC56A"/>
    <w:rsid w:val="BBEDEE91"/>
    <w:rsid w:val="BCF5B8D1"/>
    <w:rsid w:val="BDB79680"/>
    <w:rsid w:val="BDDF2F88"/>
    <w:rsid w:val="BDF5A9A1"/>
    <w:rsid w:val="BDF87A00"/>
    <w:rsid w:val="BF2D68F1"/>
    <w:rsid w:val="BFB6151B"/>
    <w:rsid w:val="CEFF0041"/>
    <w:rsid w:val="CFDF9848"/>
    <w:rsid w:val="CFFFC0C9"/>
    <w:rsid w:val="D5EA544A"/>
    <w:rsid w:val="D657BFFE"/>
    <w:rsid w:val="DBEFCFD8"/>
    <w:rsid w:val="DBF768AF"/>
    <w:rsid w:val="DBFBD10C"/>
    <w:rsid w:val="DEFAA314"/>
    <w:rsid w:val="DFABC695"/>
    <w:rsid w:val="DFC5F8CB"/>
    <w:rsid w:val="DFFCCC97"/>
    <w:rsid w:val="E5FF9BFF"/>
    <w:rsid w:val="E7CCE422"/>
    <w:rsid w:val="EB77EB6F"/>
    <w:rsid w:val="ED6B6541"/>
    <w:rsid w:val="EE8F3E4E"/>
    <w:rsid w:val="EFCE0F7B"/>
    <w:rsid w:val="F5CF8D54"/>
    <w:rsid w:val="F6F30DB7"/>
    <w:rsid w:val="F6FBA233"/>
    <w:rsid w:val="F76F0351"/>
    <w:rsid w:val="F99F446B"/>
    <w:rsid w:val="FB5492E8"/>
    <w:rsid w:val="FBA38111"/>
    <w:rsid w:val="FBF68BB4"/>
    <w:rsid w:val="FBF77A7D"/>
    <w:rsid w:val="FCF74FDF"/>
    <w:rsid w:val="FDFFB4D7"/>
    <w:rsid w:val="FE2802E4"/>
    <w:rsid w:val="FE3FF2DA"/>
    <w:rsid w:val="FEDA30F2"/>
    <w:rsid w:val="FEFEFEBB"/>
    <w:rsid w:val="FF5E43BE"/>
    <w:rsid w:val="FF7B2F07"/>
    <w:rsid w:val="FF95C8E8"/>
    <w:rsid w:val="FFD44226"/>
    <w:rsid w:val="FFEFE01D"/>
    <w:rsid w:val="FFF55AF5"/>
    <w:rsid w:val="FFFE3A21"/>
    <w:rsid w:val="FFFEBD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60"/>
    <w:qFormat/>
    <w:uiPriority w:val="0"/>
    <w:pPr>
      <w:keepNext/>
      <w:keepLines/>
      <w:spacing w:before="340" w:after="330" w:line="578" w:lineRule="auto"/>
      <w:outlineLvl w:val="0"/>
    </w:pPr>
    <w:rPr>
      <w:b/>
      <w:bCs/>
      <w:kern w:val="44"/>
      <w:sz w:val="44"/>
      <w:szCs w:val="44"/>
    </w:rPr>
  </w:style>
  <w:style w:type="paragraph" w:styleId="2">
    <w:name w:val="heading 2"/>
    <w:basedOn w:val="1"/>
    <w:next w:val="1"/>
    <w:link w:val="6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2"/>
    <w:qFormat/>
    <w:uiPriority w:val="0"/>
    <w:pPr>
      <w:keepNext/>
      <w:keepLines/>
      <w:spacing w:before="260" w:after="260" w:line="416" w:lineRule="auto"/>
      <w:outlineLvl w:val="2"/>
    </w:pPr>
    <w:rPr>
      <w:b/>
      <w:bCs/>
      <w:sz w:val="32"/>
      <w:szCs w:val="32"/>
    </w:rPr>
  </w:style>
  <w:style w:type="paragraph" w:styleId="5">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4"/>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65"/>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6"/>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7"/>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8"/>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103"/>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link w:val="238"/>
    <w:unhideWhenUsed/>
    <w:qFormat/>
    <w:uiPriority w:val="39"/>
    <w:pPr>
      <w:spacing w:line="300" w:lineRule="exact"/>
      <w:ind w:left="420"/>
    </w:pPr>
    <w:rPr>
      <w:rFonts w:ascii="宋体"/>
    </w:rPr>
  </w:style>
  <w:style w:type="paragraph" w:styleId="16">
    <w:name w:val="Plain Text"/>
    <w:basedOn w:val="1"/>
    <w:semiHidden/>
    <w:unhideWhenUsed/>
    <w:qFormat/>
    <w:uiPriority w:val="99"/>
    <w:rPr>
      <w:rFonts w:ascii="宋体" w:hAnsi="Courier New"/>
    </w:rPr>
  </w:style>
  <w:style w:type="paragraph" w:styleId="17">
    <w:name w:val="Balloon Text"/>
    <w:basedOn w:val="1"/>
    <w:link w:val="71"/>
    <w:semiHidden/>
    <w:unhideWhenUsed/>
    <w:qFormat/>
    <w:uiPriority w:val="99"/>
    <w:rPr>
      <w:sz w:val="18"/>
      <w:szCs w:val="18"/>
    </w:rPr>
  </w:style>
  <w:style w:type="paragraph" w:styleId="18">
    <w:name w:val="footer"/>
    <w:basedOn w:val="1"/>
    <w:link w:val="70"/>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69"/>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1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74"/>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basedOn w:val="30"/>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paragraph" w:customStyle="1" w:styleId="36">
    <w:name w:val="标准文件_三级条标题"/>
    <w:basedOn w:val="37"/>
    <w:next w:val="38"/>
    <w:qFormat/>
    <w:uiPriority w:val="0"/>
    <w:pPr>
      <w:widowControl/>
      <w:numPr>
        <w:ilvl w:val="4"/>
      </w:numPr>
      <w:outlineLvl w:val="3"/>
    </w:pPr>
  </w:style>
  <w:style w:type="paragraph" w:customStyle="1" w:styleId="37">
    <w:name w:val="标准文件_二级条标题"/>
    <w:next w:val="38"/>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38">
    <w:name w:val="标准文件_段"/>
    <w:link w:val="19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9">
    <w:name w:val="标准文件_章标题"/>
    <w:next w:val="38"/>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40">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1">
    <w:name w:val="标准文件_一级条标题"/>
    <w:basedOn w:val="39"/>
    <w:next w:val="38"/>
    <w:qFormat/>
    <w:uiPriority w:val="0"/>
    <w:pPr>
      <w:numPr>
        <w:ilvl w:val="2"/>
      </w:numPr>
      <w:spacing w:beforeLines="50" w:afterLines="50"/>
      <w:outlineLvl w:val="1"/>
    </w:pPr>
  </w:style>
  <w:style w:type="paragraph" w:customStyle="1" w:styleId="42">
    <w:name w:val="标准文件_四级条标题"/>
    <w:next w:val="38"/>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43">
    <w:name w:val="标准文件_五级条标题"/>
    <w:next w:val="38"/>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44">
    <w:name w:val="标准文件_附录一级条标题"/>
    <w:next w:val="38"/>
    <w:qFormat/>
    <w:uiPriority w:val="0"/>
    <w:pPr>
      <w:widowControl w:val="0"/>
      <w:numPr>
        <w:ilvl w:val="1"/>
        <w:numId w:val="2"/>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45">
    <w:name w:val="标准文件_附录二级条标题"/>
    <w:basedOn w:val="44"/>
    <w:next w:val="38"/>
    <w:qFormat/>
    <w:uiPriority w:val="0"/>
    <w:pPr>
      <w:widowControl/>
      <w:numPr>
        <w:ilvl w:val="2"/>
      </w:numPr>
      <w:wordWrap w:val="0"/>
      <w:overflowPunct w:val="0"/>
      <w:autoSpaceDE w:val="0"/>
      <w:autoSpaceDN w:val="0"/>
      <w:textAlignment w:val="baseline"/>
      <w:outlineLvl w:val="3"/>
    </w:pPr>
  </w:style>
  <w:style w:type="paragraph" w:customStyle="1" w:styleId="46">
    <w:name w:val="标准文件_附录四级条标题"/>
    <w:next w:val="38"/>
    <w:qFormat/>
    <w:uiPriority w:val="0"/>
    <w:pPr>
      <w:widowControl w:val="0"/>
      <w:numPr>
        <w:ilvl w:val="4"/>
        <w:numId w:val="2"/>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47">
    <w:name w:val="标准文件_附录五级条标题"/>
    <w:next w:val="38"/>
    <w:qFormat/>
    <w:uiPriority w:val="0"/>
    <w:pPr>
      <w:widowControl w:val="0"/>
      <w:numPr>
        <w:ilvl w:val="5"/>
        <w:numId w:val="2"/>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48">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9">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0">
    <w:name w:val="前言、引言标题"/>
    <w:next w:val="48"/>
    <w:autoRedefine/>
    <w:qFormat/>
    <w:uiPriority w:val="0"/>
    <w:pPr>
      <w:keepNext/>
      <w:pageBreakBefore/>
      <w:shd w:val="clear" w:color="FFFFFF" w:fill="FFFFFF"/>
      <w:spacing w:before="640" w:after="560"/>
      <w:jc w:val="center"/>
      <w:outlineLvl w:val="0"/>
    </w:pPr>
    <w:rPr>
      <w:rFonts w:ascii="黑体" w:hAnsi="黑体" w:eastAsia="黑体" w:cstheme="minorBidi"/>
      <w:sz w:val="32"/>
      <w:lang w:val="en-US" w:eastAsia="zh-CN" w:bidi="ar-SA"/>
    </w:rPr>
  </w:style>
  <w:style w:type="paragraph" w:customStyle="1" w:styleId="51">
    <w:name w:val="标准文件_术语条一"/>
    <w:basedOn w:val="52"/>
    <w:next w:val="38"/>
    <w:qFormat/>
    <w:uiPriority w:val="0"/>
  </w:style>
  <w:style w:type="paragraph" w:customStyle="1" w:styleId="52">
    <w:name w:val="标准文件_一级无标题"/>
    <w:basedOn w:val="41"/>
    <w:qFormat/>
    <w:uiPriority w:val="0"/>
    <w:pPr>
      <w:spacing w:beforeLines="0" w:afterLines="0"/>
      <w:outlineLvl w:val="9"/>
    </w:pPr>
    <w:rPr>
      <w:rFonts w:ascii="宋体" w:eastAsia="宋体"/>
    </w:rPr>
  </w:style>
  <w:style w:type="paragraph" w:customStyle="1" w:styleId="53">
    <w:name w:val="标准文件_注："/>
    <w:next w:val="38"/>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54">
    <w:name w:val="标准文件_表格"/>
    <w:basedOn w:val="38"/>
    <w:qFormat/>
    <w:uiPriority w:val="0"/>
    <w:pPr>
      <w:ind w:firstLine="0" w:firstLineChars="0"/>
      <w:jc w:val="center"/>
    </w:pPr>
    <w:rPr>
      <w:sz w:val="18"/>
    </w:rPr>
  </w:style>
  <w:style w:type="paragraph" w:customStyle="1" w:styleId="55">
    <w:name w:val="标准文件_附录标识"/>
    <w:next w:val="38"/>
    <w:qFormat/>
    <w:uiPriority w:val="0"/>
    <w:pPr>
      <w:numPr>
        <w:ilvl w:val="0"/>
        <w:numId w:val="2"/>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56">
    <w:name w:val="标准文件_附录三级条标题"/>
    <w:next w:val="38"/>
    <w:qFormat/>
    <w:uiPriority w:val="0"/>
    <w:pPr>
      <w:widowControl w:val="0"/>
      <w:numPr>
        <w:ilvl w:val="3"/>
        <w:numId w:val="2"/>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57">
    <w:name w:val="标准文件_附录表标题"/>
    <w:next w:val="38"/>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58">
    <w:name w:val="标准文件_注×："/>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9">
    <w:name w:val="标准文件_附录表标号"/>
    <w:basedOn w:val="38"/>
    <w:next w:val="38"/>
    <w:qFormat/>
    <w:uiPriority w:val="0"/>
    <w:pPr>
      <w:numPr>
        <w:ilvl w:val="0"/>
        <w:numId w:val="5"/>
      </w:numPr>
      <w:spacing w:line="14" w:lineRule="exact"/>
      <w:ind w:firstLine="0" w:firstLineChars="0"/>
      <w:jc w:val="center"/>
    </w:pPr>
    <w:rPr>
      <w:rFonts w:eastAsia="黑体"/>
      <w:vanish/>
      <w:sz w:val="2"/>
    </w:rPr>
  </w:style>
  <w:style w:type="character" w:customStyle="1" w:styleId="60">
    <w:name w:val="标题 1 Char"/>
    <w:link w:val="3"/>
    <w:qFormat/>
    <w:uiPriority w:val="0"/>
    <w:rPr>
      <w:b/>
      <w:bCs/>
      <w:kern w:val="44"/>
      <w:sz w:val="44"/>
      <w:szCs w:val="44"/>
    </w:rPr>
  </w:style>
  <w:style w:type="character" w:customStyle="1" w:styleId="61">
    <w:name w:val="标题 2 Char"/>
    <w:link w:val="2"/>
    <w:qFormat/>
    <w:uiPriority w:val="0"/>
    <w:rPr>
      <w:rFonts w:ascii="Arial" w:hAnsi="Arial" w:eastAsia="黑体"/>
      <w:b/>
      <w:bCs/>
      <w:kern w:val="2"/>
      <w:sz w:val="32"/>
      <w:szCs w:val="32"/>
    </w:rPr>
  </w:style>
  <w:style w:type="character" w:customStyle="1" w:styleId="62">
    <w:name w:val="标题 3 Char"/>
    <w:link w:val="4"/>
    <w:qFormat/>
    <w:uiPriority w:val="0"/>
    <w:rPr>
      <w:b/>
      <w:bCs/>
      <w:kern w:val="2"/>
      <w:sz w:val="32"/>
      <w:szCs w:val="32"/>
    </w:rPr>
  </w:style>
  <w:style w:type="character" w:customStyle="1" w:styleId="63">
    <w:name w:val="标题 4 Char"/>
    <w:link w:val="5"/>
    <w:qFormat/>
    <w:uiPriority w:val="0"/>
    <w:rPr>
      <w:rFonts w:ascii="Arial" w:hAnsi="Arial" w:eastAsia="黑体"/>
      <w:b/>
      <w:bCs/>
      <w:kern w:val="2"/>
      <w:sz w:val="28"/>
      <w:szCs w:val="28"/>
    </w:rPr>
  </w:style>
  <w:style w:type="character" w:customStyle="1" w:styleId="64">
    <w:name w:val="标题 5 Char"/>
    <w:link w:val="6"/>
    <w:qFormat/>
    <w:uiPriority w:val="0"/>
    <w:rPr>
      <w:b/>
      <w:bCs/>
      <w:kern w:val="2"/>
      <w:sz w:val="28"/>
      <w:szCs w:val="28"/>
    </w:rPr>
  </w:style>
  <w:style w:type="character" w:customStyle="1" w:styleId="65">
    <w:name w:val="标题 6 Char"/>
    <w:link w:val="7"/>
    <w:qFormat/>
    <w:uiPriority w:val="0"/>
    <w:rPr>
      <w:rFonts w:ascii="Arial" w:hAnsi="Arial" w:eastAsia="黑体"/>
      <w:b/>
      <w:bCs/>
      <w:kern w:val="2"/>
      <w:sz w:val="24"/>
      <w:szCs w:val="24"/>
    </w:rPr>
  </w:style>
  <w:style w:type="character" w:customStyle="1" w:styleId="66">
    <w:name w:val="标题 7 Char"/>
    <w:link w:val="8"/>
    <w:qFormat/>
    <w:uiPriority w:val="0"/>
    <w:rPr>
      <w:b/>
      <w:bCs/>
      <w:kern w:val="2"/>
      <w:sz w:val="24"/>
      <w:szCs w:val="24"/>
    </w:rPr>
  </w:style>
  <w:style w:type="character" w:customStyle="1" w:styleId="67">
    <w:name w:val="标题 8 Char"/>
    <w:link w:val="9"/>
    <w:qFormat/>
    <w:uiPriority w:val="0"/>
    <w:rPr>
      <w:rFonts w:ascii="Arial" w:hAnsi="Arial" w:eastAsia="黑体"/>
      <w:kern w:val="2"/>
      <w:sz w:val="24"/>
      <w:szCs w:val="24"/>
    </w:rPr>
  </w:style>
  <w:style w:type="character" w:customStyle="1" w:styleId="68">
    <w:name w:val="标题 9 Char"/>
    <w:link w:val="10"/>
    <w:qFormat/>
    <w:uiPriority w:val="0"/>
    <w:rPr>
      <w:rFonts w:ascii="Arial" w:hAnsi="Arial" w:eastAsia="黑体"/>
      <w:kern w:val="2"/>
      <w:sz w:val="21"/>
      <w:szCs w:val="21"/>
    </w:rPr>
  </w:style>
  <w:style w:type="character" w:customStyle="1" w:styleId="69">
    <w:name w:val="页眉 Char"/>
    <w:link w:val="19"/>
    <w:qFormat/>
    <w:uiPriority w:val="99"/>
    <w:rPr>
      <w:kern w:val="2"/>
      <w:sz w:val="18"/>
      <w:szCs w:val="18"/>
    </w:rPr>
  </w:style>
  <w:style w:type="character" w:customStyle="1" w:styleId="70">
    <w:name w:val="页脚 Char"/>
    <w:link w:val="18"/>
    <w:qFormat/>
    <w:uiPriority w:val="99"/>
    <w:rPr>
      <w:rFonts w:ascii="宋体"/>
      <w:kern w:val="2"/>
      <w:sz w:val="18"/>
      <w:szCs w:val="18"/>
    </w:rPr>
  </w:style>
  <w:style w:type="character" w:customStyle="1" w:styleId="71">
    <w:name w:val="批注框文本 Char"/>
    <w:link w:val="17"/>
    <w:semiHidden/>
    <w:qFormat/>
    <w:uiPriority w:val="99"/>
    <w:rPr>
      <w:kern w:val="2"/>
      <w:sz w:val="18"/>
      <w:szCs w:val="18"/>
    </w:rPr>
  </w:style>
  <w:style w:type="paragraph" w:styleId="72">
    <w:name w:val="Quote"/>
    <w:basedOn w:val="1"/>
    <w:next w:val="1"/>
    <w:link w:val="73"/>
    <w:qFormat/>
    <w:uiPriority w:val="29"/>
    <w:rPr>
      <w:i/>
      <w:iCs/>
      <w:color w:val="000000"/>
    </w:rPr>
  </w:style>
  <w:style w:type="character" w:customStyle="1" w:styleId="73">
    <w:name w:val="引用 Char"/>
    <w:link w:val="72"/>
    <w:qFormat/>
    <w:uiPriority w:val="29"/>
    <w:rPr>
      <w:i/>
      <w:iCs/>
      <w:color w:val="000000"/>
      <w:kern w:val="2"/>
      <w:sz w:val="21"/>
      <w:szCs w:val="21"/>
    </w:rPr>
  </w:style>
  <w:style w:type="character" w:customStyle="1" w:styleId="74">
    <w:name w:val="标题 Char"/>
    <w:link w:val="27"/>
    <w:qFormat/>
    <w:uiPriority w:val="0"/>
    <w:rPr>
      <w:rFonts w:ascii="Arial" w:hAnsi="Arial" w:cs="Arial"/>
      <w:b/>
      <w:bCs/>
      <w:kern w:val="2"/>
      <w:sz w:val="32"/>
      <w:szCs w:val="32"/>
    </w:rPr>
  </w:style>
  <w:style w:type="paragraph" w:customStyle="1" w:styleId="75">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7">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8">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9">
    <w:name w:val="标准书眉一"/>
    <w:qFormat/>
    <w:uiPriority w:val="0"/>
    <w:pPr>
      <w:jc w:val="both"/>
    </w:pPr>
    <w:rPr>
      <w:rFonts w:ascii="Times New Roman" w:hAnsi="Times New Roman" w:eastAsia="宋体" w:cs="Times New Roman"/>
      <w:lang w:val="en-US" w:eastAsia="zh-CN" w:bidi="ar-SA"/>
    </w:rPr>
  </w:style>
  <w:style w:type="paragraph" w:customStyle="1" w:styleId="80">
    <w:name w:val="标准文件_ICS"/>
    <w:basedOn w:val="1"/>
    <w:qFormat/>
    <w:uiPriority w:val="0"/>
    <w:pPr>
      <w:spacing w:line="0" w:lineRule="atLeast"/>
    </w:pPr>
    <w:rPr>
      <w:rFonts w:ascii="黑体" w:hAnsi="宋体" w:eastAsia="黑体"/>
    </w:rPr>
  </w:style>
  <w:style w:type="paragraph" w:customStyle="1" w:styleId="81">
    <w:name w:val="标准文件_标准正文"/>
    <w:basedOn w:val="1"/>
    <w:next w:val="38"/>
    <w:qFormat/>
    <w:uiPriority w:val="0"/>
    <w:pPr>
      <w:snapToGrid w:val="0"/>
      <w:ind w:firstLine="200" w:firstLineChars="200"/>
    </w:pPr>
    <w:rPr>
      <w:kern w:val="0"/>
    </w:rPr>
  </w:style>
  <w:style w:type="paragraph" w:customStyle="1" w:styleId="82">
    <w:name w:val="标准文件_版本"/>
    <w:basedOn w:val="81"/>
    <w:qFormat/>
    <w:uiPriority w:val="0"/>
    <w:pPr>
      <w:adjustRightInd/>
      <w:snapToGrid/>
      <w:ind w:firstLine="0" w:firstLineChars="0"/>
    </w:pPr>
    <w:rPr>
      <w:rFonts w:ascii="宋体" w:hAnsi="宋体"/>
      <w:kern w:val="2"/>
    </w:rPr>
  </w:style>
  <w:style w:type="paragraph" w:customStyle="1" w:styleId="83">
    <w:name w:val="标准文件_标准部门"/>
    <w:basedOn w:val="1"/>
    <w:qFormat/>
    <w:uiPriority w:val="0"/>
    <w:pPr>
      <w:jc w:val="center"/>
    </w:pPr>
    <w:rPr>
      <w:rFonts w:ascii="黑体" w:eastAsia="黑体"/>
      <w:kern w:val="0"/>
      <w:sz w:val="44"/>
    </w:rPr>
  </w:style>
  <w:style w:type="paragraph" w:customStyle="1" w:styleId="84">
    <w:name w:val="标准文件_标准代替"/>
    <w:basedOn w:val="1"/>
    <w:next w:val="1"/>
    <w:qFormat/>
    <w:uiPriority w:val="0"/>
    <w:pPr>
      <w:spacing w:line="310" w:lineRule="exact"/>
      <w:jc w:val="right"/>
    </w:pPr>
    <w:rPr>
      <w:rFonts w:ascii="宋体" w:hAnsi="宋体"/>
      <w:kern w:val="0"/>
    </w:rPr>
  </w:style>
  <w:style w:type="paragraph" w:customStyle="1" w:styleId="8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7">
    <w:name w:val="标准文件_页眉偶数页"/>
    <w:basedOn w:val="86"/>
    <w:next w:val="1"/>
    <w:qFormat/>
    <w:uiPriority w:val="0"/>
    <w:pPr>
      <w:jc w:val="left"/>
    </w:pPr>
  </w:style>
  <w:style w:type="paragraph" w:customStyle="1" w:styleId="88">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89">
    <w:name w:val="标准文件_参考文献条目"/>
    <w:qFormat/>
    <w:uiPriority w:val="0"/>
    <w:pPr>
      <w:numPr>
        <w:ilvl w:val="0"/>
        <w:numId w:val="7"/>
      </w:numPr>
    </w:pPr>
    <w:rPr>
      <w:rFonts w:ascii="宋体" w:hAnsi="Times New Roman" w:eastAsia="宋体" w:cs="Times New Roman"/>
      <w:lang w:val="en-US" w:eastAsia="zh-CN" w:bidi="ar-SA"/>
    </w:rPr>
  </w:style>
  <w:style w:type="character" w:customStyle="1" w:styleId="90">
    <w:name w:val="标准文件_发布"/>
    <w:qFormat/>
    <w:uiPriority w:val="0"/>
    <w:rPr>
      <w:rFonts w:ascii="黑体" w:eastAsia="黑体"/>
      <w:spacing w:val="0"/>
      <w:w w:val="100"/>
      <w:position w:val="3"/>
      <w:sz w:val="28"/>
    </w:rPr>
  </w:style>
  <w:style w:type="paragraph" w:customStyle="1" w:styleId="91">
    <w:name w:val="标准文件_方框数字列项"/>
    <w:basedOn w:val="38"/>
    <w:qFormat/>
    <w:uiPriority w:val="0"/>
    <w:pPr>
      <w:numPr>
        <w:ilvl w:val="0"/>
        <w:numId w:val="8"/>
      </w:numPr>
      <w:ind w:firstLine="0" w:firstLineChars="0"/>
    </w:pPr>
  </w:style>
  <w:style w:type="paragraph" w:customStyle="1" w:styleId="92">
    <w:name w:val="标准文件_封面标准编号"/>
    <w:basedOn w:val="1"/>
    <w:next w:val="84"/>
    <w:qFormat/>
    <w:uiPriority w:val="0"/>
    <w:pPr>
      <w:spacing w:line="310" w:lineRule="exact"/>
      <w:jc w:val="right"/>
    </w:pPr>
    <w:rPr>
      <w:rFonts w:ascii="黑体" w:eastAsia="黑体"/>
      <w:kern w:val="0"/>
      <w:sz w:val="28"/>
    </w:rPr>
  </w:style>
  <w:style w:type="paragraph" w:customStyle="1" w:styleId="93">
    <w:name w:val="标准文件_封面标准分类号"/>
    <w:basedOn w:val="1"/>
    <w:qFormat/>
    <w:uiPriority w:val="0"/>
    <w:rPr>
      <w:rFonts w:ascii="黑体" w:eastAsia="黑体"/>
      <w:b/>
      <w:kern w:val="0"/>
      <w:sz w:val="28"/>
    </w:rPr>
  </w:style>
  <w:style w:type="paragraph" w:customStyle="1" w:styleId="94">
    <w:name w:val="标准文件_封面标准名称"/>
    <w:basedOn w:val="1"/>
    <w:qFormat/>
    <w:uiPriority w:val="0"/>
    <w:pPr>
      <w:spacing w:line="240" w:lineRule="auto"/>
      <w:jc w:val="center"/>
    </w:pPr>
    <w:rPr>
      <w:rFonts w:ascii="黑体" w:eastAsia="黑体"/>
      <w:kern w:val="0"/>
      <w:sz w:val="52"/>
    </w:rPr>
  </w:style>
  <w:style w:type="paragraph" w:customStyle="1" w:styleId="95">
    <w:name w:val="标准文件_封面标准英文名称"/>
    <w:basedOn w:val="1"/>
    <w:qFormat/>
    <w:uiPriority w:val="0"/>
    <w:pPr>
      <w:spacing w:line="240" w:lineRule="auto"/>
      <w:jc w:val="center"/>
    </w:pPr>
    <w:rPr>
      <w:rFonts w:ascii="黑体" w:eastAsia="黑体"/>
      <w:b/>
      <w:sz w:val="28"/>
    </w:rPr>
  </w:style>
  <w:style w:type="paragraph" w:customStyle="1" w:styleId="96">
    <w:name w:val="标准文件_封面发布日期"/>
    <w:basedOn w:val="1"/>
    <w:qFormat/>
    <w:uiPriority w:val="0"/>
    <w:pPr>
      <w:spacing w:line="310" w:lineRule="exact"/>
    </w:pPr>
    <w:rPr>
      <w:rFonts w:ascii="黑体" w:eastAsia="黑体"/>
      <w:kern w:val="0"/>
      <w:sz w:val="28"/>
    </w:rPr>
  </w:style>
  <w:style w:type="paragraph" w:customStyle="1" w:styleId="97">
    <w:name w:val="标准文件_封面密级"/>
    <w:basedOn w:val="1"/>
    <w:qFormat/>
    <w:uiPriority w:val="0"/>
    <w:rPr>
      <w:rFonts w:eastAsia="黑体"/>
      <w:sz w:val="32"/>
    </w:rPr>
  </w:style>
  <w:style w:type="paragraph" w:customStyle="1" w:styleId="98">
    <w:name w:val="标准文件_封面实施日期"/>
    <w:basedOn w:val="1"/>
    <w:qFormat/>
    <w:uiPriority w:val="0"/>
    <w:pPr>
      <w:spacing w:line="310" w:lineRule="exact"/>
      <w:jc w:val="right"/>
    </w:pPr>
    <w:rPr>
      <w:rFonts w:ascii="黑体" w:eastAsia="黑体"/>
      <w:sz w:val="28"/>
    </w:rPr>
  </w:style>
  <w:style w:type="paragraph" w:customStyle="1" w:styleId="99">
    <w:name w:val="标准文件_封面抬头"/>
    <w:basedOn w:val="38"/>
    <w:qFormat/>
    <w:uiPriority w:val="0"/>
    <w:pPr>
      <w:adjustRightInd w:val="0"/>
      <w:spacing w:line="800" w:lineRule="exact"/>
      <w:ind w:firstLine="0" w:firstLineChars="0"/>
      <w:jc w:val="distribute"/>
    </w:pPr>
    <w:rPr>
      <w:rFonts w:ascii="黑体" w:eastAsia="黑体"/>
      <w:b/>
      <w:sz w:val="64"/>
    </w:rPr>
  </w:style>
  <w:style w:type="paragraph" w:customStyle="1" w:styleId="100">
    <w:name w:val="标准文件_附录公式"/>
    <w:basedOn w:val="81"/>
    <w:next w:val="8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1">
    <w:name w:val="标准文件_附录图标题"/>
    <w:next w:val="38"/>
    <w:qFormat/>
    <w:uiPriority w:val="0"/>
    <w:pPr>
      <w:numPr>
        <w:ilvl w:val="1"/>
        <w:numId w:val="9"/>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102">
    <w:name w:val="标准文件_附录英文标识"/>
    <w:next w:val="13"/>
    <w:qFormat/>
    <w:uiPriority w:val="0"/>
    <w:pPr>
      <w:numPr>
        <w:ilvl w:val="0"/>
        <w:numId w:val="10"/>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03">
    <w:name w:val="正文文本 Char"/>
    <w:link w:val="13"/>
    <w:qFormat/>
    <w:uiPriority w:val="0"/>
    <w:rPr>
      <w:kern w:val="2"/>
      <w:sz w:val="21"/>
      <w:szCs w:val="21"/>
    </w:rPr>
  </w:style>
  <w:style w:type="paragraph" w:customStyle="1" w:styleId="104">
    <w:name w:val="标准文件_附录章标题"/>
    <w:next w:val="3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5">
    <w:name w:val="标准文件_公式后的破折号"/>
    <w:basedOn w:val="38"/>
    <w:next w:val="38"/>
    <w:qFormat/>
    <w:uiPriority w:val="0"/>
    <w:pPr>
      <w:ind w:left="488" w:leftChars="200" w:hanging="289" w:hangingChars="290"/>
    </w:pPr>
  </w:style>
  <w:style w:type="paragraph" w:customStyle="1" w:styleId="106">
    <w:name w:val="标准文件_前言、引言标题"/>
    <w:next w:val="1"/>
    <w:qFormat/>
    <w:uiPriority w:val="0"/>
    <w:pPr>
      <w:numPr>
        <w:ilvl w:val="0"/>
        <w:numId w:val="11"/>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107">
    <w:name w:val="标准文件_目次、标准名称标题"/>
    <w:basedOn w:val="106"/>
    <w:next w:val="38"/>
    <w:qFormat/>
    <w:uiPriority w:val="0"/>
    <w:pPr>
      <w:spacing w:line="460" w:lineRule="exact"/>
      <w:ind w:left="0" w:firstLine="0"/>
    </w:pPr>
  </w:style>
  <w:style w:type="paragraph" w:customStyle="1" w:styleId="108">
    <w:name w:val="标准文件_目录标题"/>
    <w:basedOn w:val="1"/>
    <w:qFormat/>
    <w:uiPriority w:val="0"/>
    <w:pPr>
      <w:spacing w:before="480" w:afterLines="150" w:line="240" w:lineRule="auto"/>
      <w:jc w:val="center"/>
    </w:pPr>
    <w:rPr>
      <w:rFonts w:ascii="黑体" w:eastAsia="黑体"/>
      <w:sz w:val="32"/>
    </w:rPr>
  </w:style>
  <w:style w:type="paragraph" w:customStyle="1" w:styleId="109">
    <w:name w:val="标准文件_破折号列项"/>
    <w:qFormat/>
    <w:uiPriority w:val="0"/>
    <w:pPr>
      <w:numPr>
        <w:ilvl w:val="0"/>
        <w:numId w:val="12"/>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10">
    <w:name w:val="标准文件_破折号列项（二级）"/>
    <w:basedOn w:val="109"/>
    <w:qFormat/>
    <w:uiPriority w:val="0"/>
    <w:pPr>
      <w:numPr>
        <w:numId w:val="13"/>
      </w:numPr>
    </w:pPr>
  </w:style>
  <w:style w:type="character" w:customStyle="1" w:styleId="111">
    <w:name w:val="不明显参考1"/>
    <w:qFormat/>
    <w:uiPriority w:val="31"/>
    <w:rPr>
      <w:smallCaps/>
      <w:color w:val="C0504D"/>
      <w:u w:val="single"/>
    </w:rPr>
  </w:style>
  <w:style w:type="paragraph" w:customStyle="1" w:styleId="112">
    <w:name w:val="标准文件_示例后续"/>
    <w:basedOn w:val="1"/>
    <w:qFormat/>
    <w:uiPriority w:val="0"/>
    <w:pPr>
      <w:adjustRightInd/>
      <w:spacing w:line="240" w:lineRule="auto"/>
      <w:ind w:firstLine="200" w:firstLineChars="200"/>
    </w:pPr>
    <w:rPr>
      <w:sz w:val="18"/>
      <w:szCs w:val="24"/>
    </w:rPr>
  </w:style>
  <w:style w:type="paragraph" w:customStyle="1" w:styleId="113">
    <w:name w:val="标准文件_数字编号列项"/>
    <w:qFormat/>
    <w:uiPriority w:val="0"/>
    <w:pPr>
      <w:numPr>
        <w:ilvl w:val="0"/>
        <w:numId w:val="14"/>
      </w:numPr>
      <w:jc w:val="both"/>
    </w:pPr>
    <w:rPr>
      <w:rFonts w:ascii="宋体" w:hAnsi="宋体" w:eastAsia="宋体" w:cs="Times New Roman"/>
      <w:sz w:val="21"/>
      <w:lang w:val="en-US" w:eastAsia="zh-CN" w:bidi="ar-SA"/>
    </w:rPr>
  </w:style>
  <w:style w:type="character" w:customStyle="1" w:styleId="114">
    <w:name w:val="脚注文本 Char"/>
    <w:link w:val="22"/>
    <w:semiHidden/>
    <w:qFormat/>
    <w:uiPriority w:val="0"/>
    <w:rPr>
      <w:rFonts w:ascii="宋体"/>
      <w:kern w:val="2"/>
      <w:sz w:val="18"/>
      <w:szCs w:val="18"/>
    </w:rPr>
  </w:style>
  <w:style w:type="paragraph" w:customStyle="1" w:styleId="115">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16">
    <w:name w:val="标准文件_图表脚注"/>
    <w:basedOn w:val="1"/>
    <w:next w:val="38"/>
    <w:qFormat/>
    <w:uiPriority w:val="0"/>
    <w:pPr>
      <w:numPr>
        <w:ilvl w:val="0"/>
        <w:numId w:val="15"/>
      </w:numPr>
      <w:spacing w:line="240" w:lineRule="auto"/>
      <w:jc w:val="left"/>
    </w:pPr>
    <w:rPr>
      <w:rFonts w:ascii="宋体" w:hAnsi="宋体"/>
      <w:sz w:val="18"/>
    </w:rPr>
  </w:style>
  <w:style w:type="character" w:customStyle="1" w:styleId="117">
    <w:name w:val="标准文件_图表脚注内容"/>
    <w:qFormat/>
    <w:uiPriority w:val="0"/>
    <w:rPr>
      <w:rFonts w:ascii="宋体" w:hAnsi="宋体" w:eastAsia="宋体" w:cs="Times New Roman"/>
      <w:spacing w:val="0"/>
      <w:sz w:val="18"/>
      <w:vertAlign w:val="superscript"/>
    </w:rPr>
  </w:style>
  <w:style w:type="paragraph" w:customStyle="1" w:styleId="118">
    <w:name w:val="标准文件_一致程度"/>
    <w:basedOn w:val="1"/>
    <w:qFormat/>
    <w:uiPriority w:val="0"/>
    <w:pPr>
      <w:spacing w:line="440" w:lineRule="exact"/>
      <w:jc w:val="center"/>
    </w:pPr>
    <w:rPr>
      <w:sz w:val="28"/>
    </w:rPr>
  </w:style>
  <w:style w:type="paragraph" w:customStyle="1" w:styleId="11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0">
    <w:name w:val="标准文件_英文图表脚注"/>
    <w:basedOn w:val="81"/>
    <w:qFormat/>
    <w:uiPriority w:val="0"/>
    <w:pPr>
      <w:widowControl/>
      <w:adjustRightInd/>
      <w:snapToGrid/>
      <w:spacing w:line="240" w:lineRule="auto"/>
      <w:ind w:left="79" w:hanging="79" w:hangingChars="80"/>
    </w:pPr>
    <w:rPr>
      <w:rFonts w:ascii="宋体" w:hAnsi="宋体"/>
    </w:rPr>
  </w:style>
  <w:style w:type="paragraph" w:customStyle="1" w:styleId="121">
    <w:name w:val="标准文件_数字编号列项（二级）"/>
    <w:qFormat/>
    <w:uiPriority w:val="0"/>
    <w:pPr>
      <w:numPr>
        <w:ilvl w:val="1"/>
        <w:numId w:val="3"/>
      </w:numPr>
      <w:jc w:val="both"/>
    </w:pPr>
    <w:rPr>
      <w:rFonts w:ascii="宋体" w:hAnsi="Times New Roman" w:eastAsia="宋体" w:cs="Times New Roman"/>
      <w:sz w:val="21"/>
      <w:lang w:val="en-US" w:eastAsia="zh-CN" w:bidi="ar-SA"/>
    </w:rPr>
  </w:style>
  <w:style w:type="paragraph" w:customStyle="1" w:styleId="122">
    <w:name w:val="标准文件_英文注："/>
    <w:basedOn w:val="1"/>
    <w:next w:val="38"/>
    <w:qFormat/>
    <w:uiPriority w:val="0"/>
    <w:pPr>
      <w:numPr>
        <w:ilvl w:val="0"/>
        <w:numId w:val="16"/>
      </w:numPr>
      <w:tabs>
        <w:tab w:val="left" w:pos="420"/>
      </w:tabs>
      <w:autoSpaceDE w:val="0"/>
      <w:autoSpaceDN w:val="0"/>
      <w:spacing w:line="240" w:lineRule="auto"/>
    </w:pPr>
    <w:rPr>
      <w:rFonts w:ascii="宋体" w:hAnsi="宋体"/>
      <w:kern w:val="0"/>
      <w:sz w:val="18"/>
      <w:szCs w:val="20"/>
    </w:rPr>
  </w:style>
  <w:style w:type="paragraph" w:customStyle="1" w:styleId="123">
    <w:name w:val="标准文件_英文注×："/>
    <w:basedOn w:val="1"/>
    <w:qFormat/>
    <w:uiPriority w:val="0"/>
    <w:pPr>
      <w:numPr>
        <w:ilvl w:val="0"/>
        <w:numId w:val="17"/>
      </w:numPr>
      <w:tabs>
        <w:tab w:val="left" w:pos="210"/>
      </w:tabs>
      <w:autoSpaceDE w:val="0"/>
      <w:autoSpaceDN w:val="0"/>
      <w:spacing w:line="240" w:lineRule="auto"/>
    </w:pPr>
    <w:rPr>
      <w:rFonts w:ascii="宋体" w:hAnsi="宋体"/>
      <w:kern w:val="0"/>
      <w:szCs w:val="20"/>
    </w:rPr>
  </w:style>
  <w:style w:type="paragraph" w:customStyle="1" w:styleId="124">
    <w:name w:val="标准文件_正文表标题"/>
    <w:next w:val="38"/>
    <w:qFormat/>
    <w:uiPriority w:val="0"/>
    <w:pPr>
      <w:numPr>
        <w:ilvl w:val="0"/>
        <w:numId w:val="18"/>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25">
    <w:name w:val="标准文件_正文公式"/>
    <w:basedOn w:val="1"/>
    <w:next w:val="81"/>
    <w:qFormat/>
    <w:uiPriority w:val="0"/>
    <w:pPr>
      <w:tabs>
        <w:tab w:val="center" w:pos="4678"/>
        <w:tab w:val="right" w:leader="middleDot" w:pos="9356"/>
      </w:tabs>
      <w:spacing w:line="240" w:lineRule="auto"/>
    </w:pPr>
    <w:rPr>
      <w:rFonts w:ascii="宋体" w:hAnsi="宋体"/>
    </w:rPr>
  </w:style>
  <w:style w:type="paragraph" w:customStyle="1" w:styleId="126">
    <w:name w:val="标准文件_正文图标题"/>
    <w:next w:val="38"/>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127">
    <w:name w:val="标准文件_正文英文表标题"/>
    <w:next w:val="38"/>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28">
    <w:name w:val="标准文件_正文英文图标题"/>
    <w:next w:val="38"/>
    <w:qFormat/>
    <w:uiPriority w:val="0"/>
    <w:pPr>
      <w:numPr>
        <w:ilvl w:val="0"/>
        <w:numId w:val="21"/>
      </w:numPr>
      <w:jc w:val="center"/>
    </w:pPr>
    <w:rPr>
      <w:rFonts w:ascii="黑体" w:hAnsi="Times New Roman" w:eastAsia="黑体" w:cs="Times New Roman"/>
      <w:sz w:val="21"/>
      <w:lang w:val="en-US" w:eastAsia="zh-CN" w:bidi="ar-SA"/>
    </w:rPr>
  </w:style>
  <w:style w:type="paragraph" w:customStyle="1" w:styleId="129">
    <w:name w:val="标准文件_编号列项（三级）"/>
    <w:qFormat/>
    <w:uiPriority w:val="0"/>
    <w:pPr>
      <w:numPr>
        <w:ilvl w:val="2"/>
        <w:numId w:val="3"/>
      </w:numPr>
    </w:pPr>
    <w:rPr>
      <w:rFonts w:ascii="宋体" w:hAnsi="Times New Roman" w:eastAsia="宋体" w:cs="Times New Roman"/>
      <w:sz w:val="21"/>
      <w:lang w:val="en-US" w:eastAsia="zh-CN" w:bidi="ar-SA"/>
    </w:rPr>
  </w:style>
  <w:style w:type="paragraph" w:customStyle="1" w:styleId="130">
    <w:name w:val="二级无标题条"/>
    <w:basedOn w:val="1"/>
    <w:qFormat/>
    <w:uiPriority w:val="0"/>
    <w:pPr>
      <w:numPr>
        <w:ilvl w:val="3"/>
        <w:numId w:val="22"/>
      </w:numPr>
      <w:adjustRightInd/>
      <w:spacing w:line="240" w:lineRule="auto"/>
    </w:pPr>
    <w:rPr>
      <w:rFonts w:ascii="宋体" w:hAnsi="宋体"/>
      <w:szCs w:val="24"/>
    </w:rPr>
  </w:style>
  <w:style w:type="paragraph" w:customStyle="1" w:styleId="131">
    <w:name w:val="发布部门"/>
    <w:next w:val="3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3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3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3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9">
    <w:name w:val="封面正文"/>
    <w:qFormat/>
    <w:uiPriority w:val="0"/>
    <w:pPr>
      <w:jc w:val="both"/>
    </w:pPr>
    <w:rPr>
      <w:rFonts w:ascii="Times New Roman" w:hAnsi="Times New Roman" w:eastAsia="宋体" w:cs="Times New Roman"/>
      <w:lang w:val="en-US" w:eastAsia="zh-CN" w:bidi="ar-SA"/>
    </w:rPr>
  </w:style>
  <w:style w:type="paragraph" w:customStyle="1" w:styleId="140">
    <w:name w:val="附录二级无标题条"/>
    <w:basedOn w:val="1"/>
    <w:next w:val="3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41">
    <w:name w:val="附录三级无标题条"/>
    <w:basedOn w:val="140"/>
    <w:next w:val="38"/>
    <w:qFormat/>
    <w:uiPriority w:val="0"/>
    <w:pPr>
      <w:outlineLvl w:val="4"/>
    </w:pPr>
  </w:style>
  <w:style w:type="paragraph" w:customStyle="1" w:styleId="142">
    <w:name w:val="附录四级无标题条"/>
    <w:basedOn w:val="141"/>
    <w:next w:val="38"/>
    <w:qFormat/>
    <w:uiPriority w:val="0"/>
    <w:pPr>
      <w:outlineLvl w:val="5"/>
    </w:pPr>
  </w:style>
  <w:style w:type="paragraph" w:customStyle="1" w:styleId="143">
    <w:name w:val="附录图"/>
    <w:next w:val="3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4">
    <w:name w:val="标准文件_一级项"/>
    <w:qFormat/>
    <w:uiPriority w:val="0"/>
    <w:pPr>
      <w:numPr>
        <w:ilvl w:val="0"/>
        <w:numId w:val="23"/>
      </w:numPr>
    </w:pPr>
    <w:rPr>
      <w:rFonts w:ascii="宋体" w:hAnsi="Times New Roman" w:eastAsia="宋体" w:cs="Times New Roman"/>
      <w:sz w:val="21"/>
      <w:lang w:val="en-US" w:eastAsia="zh-CN" w:bidi="ar-SA"/>
    </w:rPr>
  </w:style>
  <w:style w:type="paragraph" w:customStyle="1" w:styleId="145">
    <w:name w:val="附录五级无标题条"/>
    <w:basedOn w:val="142"/>
    <w:next w:val="38"/>
    <w:qFormat/>
    <w:uiPriority w:val="0"/>
    <w:pPr>
      <w:outlineLvl w:val="6"/>
    </w:pPr>
  </w:style>
  <w:style w:type="paragraph" w:customStyle="1" w:styleId="146">
    <w:name w:val="附录性质"/>
    <w:basedOn w:val="1"/>
    <w:qFormat/>
    <w:uiPriority w:val="0"/>
    <w:pPr>
      <w:widowControl/>
      <w:adjustRightInd/>
      <w:jc w:val="center"/>
    </w:pPr>
    <w:rPr>
      <w:rFonts w:ascii="黑体" w:eastAsia="黑体"/>
    </w:rPr>
  </w:style>
  <w:style w:type="paragraph" w:customStyle="1" w:styleId="147">
    <w:name w:val="附录一级无标题条"/>
    <w:basedOn w:val="104"/>
    <w:next w:val="38"/>
    <w:qFormat/>
    <w:uiPriority w:val="0"/>
    <w:pPr>
      <w:autoSpaceDN w:val="0"/>
      <w:outlineLvl w:val="2"/>
    </w:pPr>
    <w:rPr>
      <w:rFonts w:ascii="宋体" w:hAnsi="宋体" w:eastAsia="宋体"/>
    </w:rPr>
  </w:style>
  <w:style w:type="character" w:customStyle="1" w:styleId="148">
    <w:name w:val="个人答复风格"/>
    <w:qFormat/>
    <w:uiPriority w:val="0"/>
    <w:rPr>
      <w:rFonts w:ascii="Arial" w:hAnsi="Arial" w:eastAsia="宋体" w:cs="Arial"/>
      <w:color w:val="auto"/>
      <w:spacing w:val="0"/>
      <w:sz w:val="20"/>
    </w:rPr>
  </w:style>
  <w:style w:type="character" w:customStyle="1" w:styleId="149">
    <w:name w:val="个人撰写风格"/>
    <w:qFormat/>
    <w:uiPriority w:val="0"/>
    <w:rPr>
      <w:rFonts w:ascii="Arial" w:hAnsi="Arial" w:eastAsia="宋体" w:cs="Arial"/>
      <w:color w:val="auto"/>
      <w:spacing w:val="0"/>
      <w:sz w:val="20"/>
    </w:rPr>
  </w:style>
  <w:style w:type="paragraph" w:customStyle="1" w:styleId="15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51">
    <w:name w:val="列项——"/>
    <w:qFormat/>
    <w:uiPriority w:val="0"/>
    <w:pPr>
      <w:widowControl w:val="0"/>
      <w:numPr>
        <w:ilvl w:val="0"/>
        <w:numId w:val="24"/>
      </w:numPr>
      <w:jc w:val="both"/>
    </w:pPr>
    <w:rPr>
      <w:rFonts w:ascii="宋体" w:hAnsi="宋体" w:eastAsia="宋体" w:cs="Times New Roman"/>
      <w:sz w:val="21"/>
      <w:lang w:val="en-US" w:eastAsia="zh-CN" w:bidi="ar-SA"/>
    </w:rPr>
  </w:style>
  <w:style w:type="paragraph" w:customStyle="1" w:styleId="152">
    <w:name w:val="列项·"/>
    <w:basedOn w:val="38"/>
    <w:qFormat/>
    <w:uiPriority w:val="0"/>
    <w:pPr>
      <w:tabs>
        <w:tab w:val="left" w:pos="840"/>
      </w:tabs>
    </w:pPr>
  </w:style>
  <w:style w:type="paragraph" w:customStyle="1" w:styleId="15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4">
    <w:name w:val="目录 21"/>
    <w:basedOn w:val="1"/>
    <w:next w:val="1"/>
    <w:semiHidden/>
    <w:qFormat/>
    <w:uiPriority w:val="0"/>
    <w:pPr>
      <w:adjustRightInd/>
      <w:spacing w:line="240" w:lineRule="auto"/>
      <w:jc w:val="left"/>
    </w:pPr>
    <w:rPr>
      <w:bCs/>
      <w:iCs/>
    </w:rPr>
  </w:style>
  <w:style w:type="paragraph" w:customStyle="1" w:styleId="155">
    <w:name w:val="目录 31"/>
    <w:basedOn w:val="1"/>
    <w:next w:val="1"/>
    <w:semiHidden/>
    <w:qFormat/>
    <w:uiPriority w:val="0"/>
    <w:pPr>
      <w:spacing w:line="240" w:lineRule="auto"/>
    </w:pPr>
    <w:rPr>
      <w:rFonts w:ascii="宋体" w:hAnsi="宋体"/>
      <w:iCs/>
    </w:rPr>
  </w:style>
  <w:style w:type="paragraph" w:customStyle="1" w:styleId="156">
    <w:name w:val="目录 41"/>
    <w:basedOn w:val="1"/>
    <w:next w:val="1"/>
    <w:semiHidden/>
    <w:qFormat/>
    <w:uiPriority w:val="0"/>
    <w:pPr>
      <w:adjustRightInd/>
      <w:spacing w:line="240" w:lineRule="auto"/>
      <w:jc w:val="left"/>
    </w:pPr>
  </w:style>
  <w:style w:type="paragraph" w:customStyle="1" w:styleId="157">
    <w:name w:val="目录 51"/>
    <w:basedOn w:val="1"/>
    <w:next w:val="1"/>
    <w:semiHidden/>
    <w:qFormat/>
    <w:uiPriority w:val="0"/>
    <w:pPr>
      <w:spacing w:line="240" w:lineRule="auto"/>
    </w:pPr>
    <w:rPr>
      <w:rFonts w:ascii="宋体" w:hAnsi="宋体"/>
    </w:rPr>
  </w:style>
  <w:style w:type="paragraph" w:customStyle="1" w:styleId="158">
    <w:name w:val="目录 61"/>
    <w:basedOn w:val="1"/>
    <w:next w:val="1"/>
    <w:semiHidden/>
    <w:qFormat/>
    <w:uiPriority w:val="0"/>
    <w:pPr>
      <w:adjustRightInd/>
      <w:spacing w:line="240" w:lineRule="auto"/>
      <w:jc w:val="left"/>
    </w:pPr>
  </w:style>
  <w:style w:type="paragraph" w:customStyle="1" w:styleId="159">
    <w:name w:val="目录 71"/>
    <w:basedOn w:val="158"/>
    <w:semiHidden/>
    <w:qFormat/>
    <w:uiPriority w:val="0"/>
    <w:pPr>
      <w:ind w:left="1260"/>
    </w:pPr>
  </w:style>
  <w:style w:type="paragraph" w:customStyle="1" w:styleId="160">
    <w:name w:val="目录 81"/>
    <w:basedOn w:val="159"/>
    <w:semiHidden/>
    <w:qFormat/>
    <w:uiPriority w:val="0"/>
    <w:pPr>
      <w:ind w:left="1470"/>
    </w:pPr>
  </w:style>
  <w:style w:type="paragraph" w:customStyle="1" w:styleId="161">
    <w:name w:val="目录 91"/>
    <w:basedOn w:val="160"/>
    <w:semiHidden/>
    <w:qFormat/>
    <w:uiPriority w:val="0"/>
    <w:pPr>
      <w:ind w:left="1680"/>
    </w:pPr>
  </w:style>
  <w:style w:type="paragraph" w:customStyle="1" w:styleId="16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63">
    <w:name w:val="其他发布部门"/>
    <w:basedOn w:val="131"/>
    <w:qFormat/>
    <w:uiPriority w:val="0"/>
    <w:pPr>
      <w:framePr w:wrap="around"/>
      <w:spacing w:line="0" w:lineRule="atLeast"/>
    </w:pPr>
    <w:rPr>
      <w:rFonts w:ascii="黑体" w:eastAsia="黑体"/>
      <w:b w:val="0"/>
    </w:rPr>
  </w:style>
  <w:style w:type="paragraph" w:customStyle="1" w:styleId="164">
    <w:name w:val="三级无标题条"/>
    <w:basedOn w:val="1"/>
    <w:qFormat/>
    <w:uiPriority w:val="0"/>
    <w:pPr>
      <w:numPr>
        <w:ilvl w:val="4"/>
        <w:numId w:val="22"/>
      </w:numPr>
      <w:adjustRightInd/>
      <w:spacing w:line="240" w:lineRule="auto"/>
    </w:pPr>
    <w:rPr>
      <w:rFonts w:ascii="宋体" w:hAnsi="宋体"/>
      <w:szCs w:val="24"/>
    </w:rPr>
  </w:style>
  <w:style w:type="paragraph" w:customStyle="1" w:styleId="165">
    <w:name w:val="实施日期"/>
    <w:basedOn w:val="132"/>
    <w:qFormat/>
    <w:uiPriority w:val="0"/>
    <w:pPr>
      <w:framePr w:hSpace="0" w:wrap="around" w:xAlign="right"/>
      <w:jc w:val="right"/>
    </w:pPr>
  </w:style>
  <w:style w:type="paragraph" w:customStyle="1" w:styleId="166">
    <w:name w:val="四级无标题条"/>
    <w:basedOn w:val="1"/>
    <w:qFormat/>
    <w:uiPriority w:val="0"/>
    <w:pPr>
      <w:numPr>
        <w:ilvl w:val="5"/>
        <w:numId w:val="22"/>
      </w:numPr>
      <w:adjustRightInd/>
      <w:spacing w:line="240" w:lineRule="auto"/>
    </w:pPr>
    <w:rPr>
      <w:rFonts w:ascii="宋体" w:hAnsi="宋体"/>
      <w:szCs w:val="24"/>
    </w:rPr>
  </w:style>
  <w:style w:type="paragraph" w:customStyle="1" w:styleId="16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8">
    <w:name w:val="无标题条"/>
    <w:next w:val="38"/>
    <w:qFormat/>
    <w:uiPriority w:val="0"/>
    <w:pPr>
      <w:jc w:val="both"/>
    </w:pPr>
    <w:rPr>
      <w:rFonts w:ascii="宋体" w:hAnsi="宋体" w:eastAsia="宋体" w:cs="Times New Roman"/>
      <w:sz w:val="21"/>
      <w:lang w:val="en-US" w:eastAsia="zh-CN" w:bidi="ar-SA"/>
    </w:rPr>
  </w:style>
  <w:style w:type="paragraph" w:customStyle="1" w:styleId="169">
    <w:name w:val="五级无标题条"/>
    <w:basedOn w:val="1"/>
    <w:qFormat/>
    <w:uiPriority w:val="0"/>
    <w:pPr>
      <w:numPr>
        <w:ilvl w:val="6"/>
        <w:numId w:val="22"/>
      </w:numPr>
      <w:adjustRightInd/>
    </w:pPr>
    <w:rPr>
      <w:szCs w:val="24"/>
    </w:rPr>
  </w:style>
  <w:style w:type="paragraph" w:customStyle="1" w:styleId="170">
    <w:name w:val="一级无标题条"/>
    <w:basedOn w:val="1"/>
    <w:qFormat/>
    <w:uiPriority w:val="0"/>
    <w:pPr>
      <w:numPr>
        <w:ilvl w:val="2"/>
        <w:numId w:val="22"/>
      </w:numPr>
      <w:adjustRightInd/>
      <w:spacing w:before="10" w:after="10" w:line="240" w:lineRule="auto"/>
    </w:pPr>
    <w:rPr>
      <w:rFonts w:ascii="宋体" w:hAnsi="宋体"/>
      <w:szCs w:val="24"/>
    </w:rPr>
  </w:style>
  <w:style w:type="paragraph" w:customStyle="1" w:styleId="17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72">
    <w:name w:val="注×:后续"/>
    <w:basedOn w:val="171"/>
    <w:qFormat/>
    <w:uiPriority w:val="0"/>
    <w:pPr>
      <w:ind w:left="1406" w:leftChars="0" w:hanging="499" w:firstLineChars="0"/>
    </w:pPr>
  </w:style>
  <w:style w:type="paragraph" w:customStyle="1" w:styleId="173">
    <w:name w:val="标准文件_五级无标题"/>
    <w:basedOn w:val="43"/>
    <w:qFormat/>
    <w:uiPriority w:val="0"/>
    <w:pPr>
      <w:spacing w:beforeLines="0" w:afterLines="0"/>
      <w:outlineLvl w:val="9"/>
    </w:pPr>
    <w:rPr>
      <w:rFonts w:ascii="宋体" w:eastAsia="宋体"/>
    </w:rPr>
  </w:style>
  <w:style w:type="paragraph" w:customStyle="1" w:styleId="174">
    <w:name w:val="标准文件_三级无标题"/>
    <w:basedOn w:val="36"/>
    <w:qFormat/>
    <w:uiPriority w:val="0"/>
    <w:pPr>
      <w:spacing w:beforeLines="0" w:afterLines="0"/>
      <w:outlineLvl w:val="9"/>
    </w:pPr>
    <w:rPr>
      <w:rFonts w:ascii="宋体" w:eastAsia="宋体"/>
    </w:rPr>
  </w:style>
  <w:style w:type="paragraph" w:customStyle="1" w:styleId="175">
    <w:name w:val="标准文件_二级无标题"/>
    <w:basedOn w:val="37"/>
    <w:qFormat/>
    <w:uiPriority w:val="0"/>
    <w:pPr>
      <w:spacing w:beforeLines="0" w:afterLines="0"/>
      <w:outlineLvl w:val="9"/>
    </w:pPr>
    <w:rPr>
      <w:rFonts w:ascii="宋体" w:eastAsia="宋体"/>
    </w:rPr>
  </w:style>
  <w:style w:type="paragraph" w:customStyle="1" w:styleId="176">
    <w:name w:val="标准_四级无标题"/>
    <w:basedOn w:val="42"/>
    <w:next w:val="38"/>
    <w:qFormat/>
    <w:uiPriority w:val="0"/>
    <w:rPr>
      <w:rFonts w:eastAsia="宋体"/>
    </w:rPr>
  </w:style>
  <w:style w:type="paragraph" w:customStyle="1" w:styleId="177">
    <w:name w:val="标准文件_四级无标题"/>
    <w:basedOn w:val="42"/>
    <w:qFormat/>
    <w:uiPriority w:val="0"/>
    <w:pPr>
      <w:spacing w:beforeLines="0" w:afterLines="0"/>
      <w:outlineLvl w:val="9"/>
    </w:pPr>
    <w:rPr>
      <w:rFonts w:ascii="宋体" w:hAnsi="黑体" w:eastAsia="宋体"/>
      <w:szCs w:val="52"/>
    </w:rPr>
  </w:style>
  <w:style w:type="paragraph" w:customStyle="1" w:styleId="178">
    <w:name w:val="标准文件_大写罗马数字编号列项"/>
    <w:basedOn w:val="38"/>
    <w:qFormat/>
    <w:uiPriority w:val="0"/>
    <w:pPr>
      <w:numPr>
        <w:ilvl w:val="0"/>
        <w:numId w:val="25"/>
      </w:numPr>
      <w:ind w:firstLine="0" w:firstLineChars="0"/>
    </w:pPr>
    <w:rPr>
      <w:rFonts w:ascii="Times New Roman" w:cs="Arial"/>
      <w:szCs w:val="28"/>
    </w:rPr>
  </w:style>
  <w:style w:type="paragraph" w:customStyle="1" w:styleId="179">
    <w:name w:val="标准文件_小写罗马数字编号列项"/>
    <w:basedOn w:val="38"/>
    <w:qFormat/>
    <w:uiPriority w:val="0"/>
    <w:pPr>
      <w:numPr>
        <w:ilvl w:val="0"/>
        <w:numId w:val="26"/>
      </w:numPr>
      <w:ind w:firstLine="0" w:firstLineChars="0"/>
    </w:pPr>
    <w:rPr>
      <w:rFonts w:cs="Arial"/>
      <w:szCs w:val="28"/>
    </w:rPr>
  </w:style>
  <w:style w:type="paragraph" w:customStyle="1" w:styleId="180">
    <w:name w:val="标准文件_附录标题"/>
    <w:basedOn w:val="55"/>
    <w:qFormat/>
    <w:uiPriority w:val="0"/>
    <w:pPr>
      <w:numPr>
        <w:numId w:val="0"/>
      </w:numPr>
      <w:spacing w:after="280"/>
      <w:outlineLvl w:val="9"/>
    </w:pPr>
  </w:style>
  <w:style w:type="paragraph" w:customStyle="1" w:styleId="181">
    <w:name w:val="标准文件_二级项"/>
    <w:qFormat/>
    <w:uiPriority w:val="0"/>
    <w:rPr>
      <w:rFonts w:ascii="宋体" w:hAnsi="Times New Roman" w:eastAsia="宋体" w:cs="Times New Roman"/>
      <w:sz w:val="21"/>
      <w:lang w:val="en-US" w:eastAsia="zh-CN" w:bidi="ar-SA"/>
    </w:rPr>
  </w:style>
  <w:style w:type="paragraph" w:customStyle="1" w:styleId="182">
    <w:name w:val="标准文件_三级项"/>
    <w:basedOn w:val="1"/>
    <w:qFormat/>
    <w:uiPriority w:val="0"/>
    <w:pPr>
      <w:numPr>
        <w:ilvl w:val="2"/>
        <w:numId w:val="23"/>
      </w:numPr>
      <w:spacing w:line="536870612" w:lineRule="auto"/>
    </w:pPr>
    <w:rPr>
      <w:rFonts w:ascii="Times New Roman" w:hAnsi="Times New Roman"/>
    </w:rPr>
  </w:style>
  <w:style w:type="paragraph" w:customStyle="1" w:styleId="183">
    <w:name w:val="图表脚注说明"/>
    <w:basedOn w:val="1"/>
    <w:next w:val="38"/>
    <w:qFormat/>
    <w:uiPriority w:val="0"/>
    <w:pPr>
      <w:numPr>
        <w:ilvl w:val="0"/>
        <w:numId w:val="27"/>
      </w:numPr>
      <w:adjustRightInd/>
      <w:spacing w:line="240" w:lineRule="auto"/>
    </w:pPr>
    <w:rPr>
      <w:rFonts w:ascii="宋体" w:hAnsi="Times New Roman"/>
      <w:sz w:val="18"/>
      <w:szCs w:val="18"/>
    </w:rPr>
  </w:style>
  <w:style w:type="paragraph" w:customStyle="1" w:styleId="184">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185">
    <w:name w:val="标准文件_索引字母"/>
    <w:next w:val="38"/>
    <w:qFormat/>
    <w:uiPriority w:val="0"/>
    <w:pPr>
      <w:jc w:val="center"/>
    </w:pPr>
    <w:rPr>
      <w:rFonts w:ascii="宋体" w:hAnsi="宋体" w:eastAsia="Times New Roman" w:cs="Times New Roman"/>
      <w:b/>
      <w:kern w:val="2"/>
      <w:sz w:val="21"/>
      <w:lang w:val="en-US" w:eastAsia="zh-CN" w:bidi="ar-SA"/>
    </w:rPr>
  </w:style>
  <w:style w:type="paragraph" w:customStyle="1" w:styleId="186">
    <w:name w:val="标准文件_附录前"/>
    <w:next w:val="3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8">
    <w:name w:val="标准文件_示例："/>
    <w:next w:val="189"/>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9">
    <w:name w:val="标准文件_示例内容"/>
    <w:basedOn w:val="38"/>
    <w:qFormat/>
    <w:uiPriority w:val="0"/>
    <w:pPr>
      <w:ind w:firstLine="420"/>
    </w:pPr>
    <w:rPr>
      <w:sz w:val="18"/>
    </w:rPr>
  </w:style>
  <w:style w:type="paragraph" w:customStyle="1" w:styleId="190">
    <w:name w:val="标准文件_示例×："/>
    <w:basedOn w:val="1"/>
    <w:next w:val="189"/>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91">
    <w:name w:val="标准文件_段 Char"/>
    <w:link w:val="38"/>
    <w:qFormat/>
    <w:uiPriority w:val="0"/>
    <w:rPr>
      <w:rFonts w:ascii="宋体" w:hAnsi="Times New Roman"/>
      <w:sz w:val="21"/>
    </w:rPr>
  </w:style>
  <w:style w:type="paragraph" w:customStyle="1" w:styleId="192">
    <w:name w:val="标准文件_表格续"/>
    <w:basedOn w:val="38"/>
    <w:next w:val="38"/>
    <w:qFormat/>
    <w:uiPriority w:val="0"/>
    <w:pPr>
      <w:jc w:val="center"/>
    </w:pPr>
    <w:rPr>
      <w:rFonts w:ascii="黑体" w:hAnsi="黑体" w:eastAsia="黑体"/>
    </w:rPr>
  </w:style>
  <w:style w:type="character" w:styleId="193">
    <w:name w:val="Placeholder Text"/>
    <w:basedOn w:val="30"/>
    <w:semiHidden/>
    <w:qFormat/>
    <w:uiPriority w:val="99"/>
    <w:rPr>
      <w:color w:val="808080"/>
    </w:rPr>
  </w:style>
  <w:style w:type="paragraph" w:customStyle="1" w:styleId="194">
    <w:name w:val="标准文件_二级项2"/>
    <w:basedOn w:val="38"/>
    <w:qFormat/>
    <w:uiPriority w:val="0"/>
    <w:pPr>
      <w:numPr>
        <w:ilvl w:val="1"/>
        <w:numId w:val="23"/>
      </w:numPr>
      <w:ind w:firstLine="0" w:firstLineChars="0"/>
    </w:pPr>
  </w:style>
  <w:style w:type="paragraph" w:customStyle="1" w:styleId="195">
    <w:name w:val="标准文件_三级项2"/>
    <w:basedOn w:val="38"/>
    <w:qFormat/>
    <w:uiPriority w:val="0"/>
    <w:pPr>
      <w:numPr>
        <w:ilvl w:val="0"/>
        <w:numId w:val="30"/>
      </w:numPr>
      <w:spacing w:line="300" w:lineRule="exact"/>
      <w:ind w:firstLineChars="0"/>
    </w:pPr>
    <w:rPr>
      <w:rFonts w:ascii="Times New Roman"/>
    </w:rPr>
  </w:style>
  <w:style w:type="paragraph" w:customStyle="1" w:styleId="196">
    <w:name w:val="标准文件_一级项2"/>
    <w:basedOn w:val="38"/>
    <w:qFormat/>
    <w:uiPriority w:val="0"/>
    <w:pPr>
      <w:numPr>
        <w:ilvl w:val="0"/>
        <w:numId w:val="31"/>
      </w:numPr>
      <w:spacing w:line="300" w:lineRule="exact"/>
      <w:ind w:firstLineChars="0"/>
    </w:pPr>
    <w:rPr>
      <w:rFonts w:ascii="Times New Roman"/>
    </w:rPr>
  </w:style>
  <w:style w:type="paragraph" w:customStyle="1" w:styleId="197">
    <w:name w:val="标准文件_提示"/>
    <w:basedOn w:val="38"/>
    <w:next w:val="38"/>
    <w:qFormat/>
    <w:uiPriority w:val="0"/>
    <w:pPr>
      <w:ind w:firstLine="420"/>
    </w:pPr>
    <w:rPr>
      <w:rFonts w:ascii="黑体" w:eastAsia="黑体"/>
    </w:rPr>
  </w:style>
  <w:style w:type="character" w:customStyle="1" w:styleId="198">
    <w:name w:val="标准文件_来源"/>
    <w:basedOn w:val="30"/>
    <w:qFormat/>
    <w:uiPriority w:val="1"/>
    <w:rPr>
      <w:rFonts w:eastAsia="宋体"/>
      <w:sz w:val="21"/>
    </w:rPr>
  </w:style>
  <w:style w:type="paragraph" w:customStyle="1" w:styleId="199">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00">
    <w:name w:val="其他发布日期"/>
    <w:basedOn w:val="132"/>
    <w:qFormat/>
    <w:uiPriority w:val="0"/>
    <w:pPr>
      <w:framePr w:w="3997" w:h="471" w:hRule="exact" w:hSpace="0" w:vSpace="181" w:wrap="around" w:vAnchor="page" w:hAnchor="page" w:x="1419" w:y="14097"/>
    </w:pPr>
  </w:style>
  <w:style w:type="paragraph" w:customStyle="1" w:styleId="201">
    <w:name w:val="其他实施日期"/>
    <w:basedOn w:val="165"/>
    <w:qFormat/>
    <w:uiPriority w:val="0"/>
    <w:pPr>
      <w:framePr w:w="3997" w:h="471" w:hRule="exact" w:vSpace="181" w:wrap="around" w:vAnchor="page" w:hAnchor="page" w:x="7089" w:y="14097"/>
    </w:pPr>
  </w:style>
  <w:style w:type="paragraph" w:customStyle="1" w:styleId="202">
    <w:name w:val="标准文件_文件编号"/>
    <w:basedOn w:val="3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3">
    <w:name w:val="标准文件_替换文件编号"/>
    <w:basedOn w:val="202"/>
    <w:qFormat/>
    <w:uiPriority w:val="0"/>
    <w:pPr>
      <w:spacing w:before="57"/>
    </w:pPr>
    <w:rPr>
      <w:sz w:val="21"/>
    </w:rPr>
  </w:style>
  <w:style w:type="paragraph" w:customStyle="1" w:styleId="204">
    <w:name w:val="标准文件_文件名称"/>
    <w:basedOn w:val="38"/>
    <w:next w:val="3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5">
    <w:name w:val="标准文件_附录图标号"/>
    <w:basedOn w:val="38"/>
    <w:next w:val="38"/>
    <w:qFormat/>
    <w:uiPriority w:val="0"/>
    <w:pPr>
      <w:numPr>
        <w:ilvl w:val="0"/>
        <w:numId w:val="9"/>
      </w:numPr>
      <w:spacing w:line="14" w:lineRule="exact"/>
      <w:ind w:firstLine="0" w:firstLineChars="0"/>
      <w:jc w:val="center"/>
    </w:pPr>
    <w:rPr>
      <w:rFonts w:ascii="黑体" w:hAnsi="黑体" w:eastAsia="黑体"/>
      <w:vanish/>
      <w:sz w:val="2"/>
      <w:szCs w:val="21"/>
    </w:rPr>
  </w:style>
  <w:style w:type="paragraph" w:customStyle="1" w:styleId="206">
    <w:name w:val="标准文件_引言一级条标题"/>
    <w:basedOn w:val="38"/>
    <w:next w:val="38"/>
    <w:qFormat/>
    <w:uiPriority w:val="0"/>
    <w:pPr>
      <w:numPr>
        <w:ilvl w:val="1"/>
        <w:numId w:val="11"/>
      </w:numPr>
      <w:spacing w:beforeLines="50" w:afterLines="50"/>
      <w:ind w:firstLineChars="0"/>
    </w:pPr>
    <w:rPr>
      <w:rFonts w:ascii="黑体" w:eastAsia="黑体"/>
    </w:rPr>
  </w:style>
  <w:style w:type="paragraph" w:customStyle="1" w:styleId="207">
    <w:name w:val="标准文件_引言二级条标题"/>
    <w:basedOn w:val="38"/>
    <w:next w:val="38"/>
    <w:qFormat/>
    <w:uiPriority w:val="0"/>
    <w:pPr>
      <w:numPr>
        <w:ilvl w:val="2"/>
        <w:numId w:val="11"/>
      </w:numPr>
      <w:spacing w:beforeLines="50" w:afterLines="50"/>
      <w:ind w:firstLineChars="0"/>
    </w:pPr>
    <w:rPr>
      <w:rFonts w:ascii="黑体" w:eastAsia="黑体"/>
    </w:rPr>
  </w:style>
  <w:style w:type="paragraph" w:customStyle="1" w:styleId="208">
    <w:name w:val="标准文件_引言三级条标题"/>
    <w:basedOn w:val="38"/>
    <w:next w:val="38"/>
    <w:qFormat/>
    <w:uiPriority w:val="0"/>
    <w:pPr>
      <w:numPr>
        <w:ilvl w:val="3"/>
        <w:numId w:val="11"/>
      </w:numPr>
      <w:spacing w:beforeLines="50" w:afterLines="50"/>
      <w:ind w:firstLineChars="0"/>
    </w:pPr>
    <w:rPr>
      <w:rFonts w:ascii="黑体" w:eastAsia="黑体"/>
    </w:rPr>
  </w:style>
  <w:style w:type="paragraph" w:customStyle="1" w:styleId="209">
    <w:name w:val="标准文件_引言四级条标题"/>
    <w:basedOn w:val="38"/>
    <w:next w:val="38"/>
    <w:qFormat/>
    <w:uiPriority w:val="0"/>
    <w:pPr>
      <w:numPr>
        <w:ilvl w:val="4"/>
        <w:numId w:val="11"/>
      </w:numPr>
      <w:spacing w:beforeLines="50" w:afterLines="50"/>
      <w:ind w:firstLineChars="0"/>
    </w:pPr>
    <w:rPr>
      <w:rFonts w:ascii="黑体" w:eastAsia="黑体"/>
    </w:rPr>
  </w:style>
  <w:style w:type="paragraph" w:customStyle="1" w:styleId="210">
    <w:name w:val="标准文件_引言五级条标题"/>
    <w:basedOn w:val="38"/>
    <w:next w:val="38"/>
    <w:qFormat/>
    <w:uiPriority w:val="0"/>
    <w:pPr>
      <w:numPr>
        <w:ilvl w:val="5"/>
        <w:numId w:val="11"/>
      </w:numPr>
      <w:spacing w:beforeLines="50" w:afterLines="50"/>
      <w:ind w:firstLineChars="0"/>
    </w:pPr>
    <w:rPr>
      <w:rFonts w:ascii="黑体" w:eastAsia="黑体"/>
    </w:rPr>
  </w:style>
  <w:style w:type="paragraph" w:customStyle="1" w:styleId="211">
    <w:name w:val="标准文件_注后"/>
    <w:basedOn w:val="38"/>
    <w:qFormat/>
    <w:uiPriority w:val="0"/>
    <w:pPr>
      <w:ind w:left="811" w:firstLine="0" w:firstLineChars="0"/>
    </w:pPr>
    <w:rPr>
      <w:sz w:val="18"/>
    </w:rPr>
  </w:style>
  <w:style w:type="paragraph" w:customStyle="1" w:styleId="212">
    <w:name w:val="标准文件_注X后"/>
    <w:basedOn w:val="38"/>
    <w:qFormat/>
    <w:uiPriority w:val="0"/>
    <w:pPr>
      <w:ind w:left="811" w:firstLine="0" w:firstLineChars="0"/>
    </w:pPr>
    <w:rPr>
      <w:sz w:val="18"/>
    </w:rPr>
  </w:style>
  <w:style w:type="paragraph" w:customStyle="1" w:styleId="213">
    <w:name w:val="标准文件_示例后"/>
    <w:basedOn w:val="38"/>
    <w:qFormat/>
    <w:uiPriority w:val="0"/>
    <w:pPr>
      <w:ind w:left="964" w:firstLine="0" w:firstLineChars="0"/>
    </w:pPr>
    <w:rPr>
      <w:sz w:val="18"/>
    </w:rPr>
  </w:style>
  <w:style w:type="paragraph" w:customStyle="1" w:styleId="214">
    <w:name w:val="标准文件_示例X后"/>
    <w:basedOn w:val="38"/>
    <w:link w:val="215"/>
    <w:qFormat/>
    <w:uiPriority w:val="0"/>
    <w:pPr>
      <w:ind w:left="1049" w:firstLine="0" w:firstLineChars="0"/>
    </w:pPr>
    <w:rPr>
      <w:sz w:val="18"/>
    </w:rPr>
  </w:style>
  <w:style w:type="character" w:customStyle="1" w:styleId="215">
    <w:name w:val="标准文件_示例X后 字符"/>
    <w:basedOn w:val="191"/>
    <w:link w:val="214"/>
    <w:qFormat/>
    <w:uiPriority w:val="0"/>
    <w:rPr>
      <w:rFonts w:ascii="宋体" w:hAnsi="Times New Roman"/>
      <w:sz w:val="18"/>
    </w:rPr>
  </w:style>
  <w:style w:type="paragraph" w:customStyle="1" w:styleId="216">
    <w:name w:val="标准文件_索引项"/>
    <w:basedOn w:val="38"/>
    <w:next w:val="38"/>
    <w:qFormat/>
    <w:uiPriority w:val="0"/>
    <w:pPr>
      <w:tabs>
        <w:tab w:val="right" w:leader="dot" w:pos="9356"/>
      </w:tabs>
      <w:ind w:left="210" w:hanging="210" w:firstLineChars="0"/>
      <w:jc w:val="left"/>
    </w:pPr>
  </w:style>
  <w:style w:type="paragraph" w:customStyle="1" w:styleId="217">
    <w:name w:val="标准文件_附录一级无标题"/>
    <w:basedOn w:val="44"/>
    <w:qFormat/>
    <w:uiPriority w:val="0"/>
    <w:pPr>
      <w:spacing w:beforeLines="0" w:afterLines="0" w:line="276" w:lineRule="auto"/>
      <w:outlineLvl w:val="9"/>
    </w:pPr>
    <w:rPr>
      <w:rFonts w:ascii="宋体" w:eastAsia="宋体"/>
    </w:rPr>
  </w:style>
  <w:style w:type="paragraph" w:customStyle="1" w:styleId="218">
    <w:name w:val="标准文件_附录二级无标题"/>
    <w:basedOn w:val="45"/>
    <w:qFormat/>
    <w:uiPriority w:val="0"/>
    <w:pPr>
      <w:spacing w:beforeLines="0" w:afterLines="0" w:line="276" w:lineRule="auto"/>
      <w:outlineLvl w:val="9"/>
    </w:pPr>
    <w:rPr>
      <w:rFonts w:ascii="宋体" w:eastAsia="宋体"/>
    </w:rPr>
  </w:style>
  <w:style w:type="paragraph" w:customStyle="1" w:styleId="219">
    <w:name w:val="标准文件_附录三级无标题"/>
    <w:basedOn w:val="56"/>
    <w:qFormat/>
    <w:uiPriority w:val="0"/>
    <w:pPr>
      <w:spacing w:beforeLines="0" w:afterLines="0" w:line="276" w:lineRule="auto"/>
      <w:outlineLvl w:val="9"/>
    </w:pPr>
    <w:rPr>
      <w:rFonts w:ascii="宋体" w:eastAsia="宋体"/>
    </w:rPr>
  </w:style>
  <w:style w:type="paragraph" w:customStyle="1" w:styleId="220">
    <w:name w:val="标准文件_附录四级无标题"/>
    <w:basedOn w:val="46"/>
    <w:qFormat/>
    <w:uiPriority w:val="0"/>
    <w:pPr>
      <w:spacing w:beforeLines="0" w:afterLines="0" w:line="276" w:lineRule="auto"/>
      <w:outlineLvl w:val="9"/>
    </w:pPr>
    <w:rPr>
      <w:rFonts w:ascii="宋体" w:eastAsia="宋体"/>
    </w:rPr>
  </w:style>
  <w:style w:type="paragraph" w:customStyle="1" w:styleId="221">
    <w:name w:val="标准文件_附录五级无标题"/>
    <w:basedOn w:val="47"/>
    <w:qFormat/>
    <w:uiPriority w:val="0"/>
    <w:pPr>
      <w:spacing w:beforeLines="0" w:afterLines="0" w:line="276" w:lineRule="auto"/>
      <w:outlineLvl w:val="9"/>
    </w:pPr>
    <w:rPr>
      <w:rFonts w:ascii="宋体" w:eastAsia="宋体"/>
    </w:rPr>
  </w:style>
  <w:style w:type="paragraph" w:customStyle="1" w:styleId="222">
    <w:name w:val="标准文件_引言一级无标题"/>
    <w:basedOn w:val="206"/>
    <w:next w:val="38"/>
    <w:qFormat/>
    <w:uiPriority w:val="0"/>
    <w:pPr>
      <w:spacing w:beforeLines="0" w:afterLines="0" w:line="276" w:lineRule="auto"/>
    </w:pPr>
    <w:rPr>
      <w:rFonts w:ascii="宋体" w:eastAsia="宋体"/>
    </w:rPr>
  </w:style>
  <w:style w:type="paragraph" w:customStyle="1" w:styleId="223">
    <w:name w:val="标准文件_引言二级无标题"/>
    <w:basedOn w:val="207"/>
    <w:next w:val="38"/>
    <w:qFormat/>
    <w:uiPriority w:val="0"/>
    <w:pPr>
      <w:spacing w:beforeLines="0" w:afterLines="0" w:line="276" w:lineRule="auto"/>
    </w:pPr>
    <w:rPr>
      <w:rFonts w:ascii="宋体" w:eastAsia="宋体"/>
    </w:rPr>
  </w:style>
  <w:style w:type="paragraph" w:customStyle="1" w:styleId="224">
    <w:name w:val="标准文件_引言三级无标题"/>
    <w:basedOn w:val="208"/>
    <w:qFormat/>
    <w:uiPriority w:val="0"/>
    <w:pPr>
      <w:spacing w:beforeLines="0" w:afterLines="0" w:line="276" w:lineRule="auto"/>
    </w:pPr>
    <w:rPr>
      <w:rFonts w:ascii="宋体" w:eastAsia="宋体"/>
    </w:rPr>
  </w:style>
  <w:style w:type="paragraph" w:customStyle="1" w:styleId="225">
    <w:name w:val="标准文件_引言四级无标题"/>
    <w:basedOn w:val="209"/>
    <w:next w:val="38"/>
    <w:qFormat/>
    <w:uiPriority w:val="0"/>
    <w:pPr>
      <w:spacing w:beforeLines="0" w:afterLines="0" w:line="276" w:lineRule="auto"/>
    </w:pPr>
    <w:rPr>
      <w:rFonts w:ascii="宋体" w:eastAsia="宋体"/>
    </w:rPr>
  </w:style>
  <w:style w:type="paragraph" w:customStyle="1" w:styleId="226">
    <w:name w:val="标准文件_引言五级无标题"/>
    <w:basedOn w:val="210"/>
    <w:next w:val="38"/>
    <w:qFormat/>
    <w:uiPriority w:val="0"/>
    <w:pPr>
      <w:spacing w:beforeLines="0" w:afterLines="0" w:line="276" w:lineRule="auto"/>
    </w:pPr>
    <w:rPr>
      <w:rFonts w:ascii="宋体" w:eastAsia="宋体"/>
    </w:rPr>
  </w:style>
  <w:style w:type="paragraph" w:customStyle="1" w:styleId="227">
    <w:name w:val="标准文件_索引标题"/>
    <w:basedOn w:val="88"/>
    <w:next w:val="38"/>
    <w:qFormat/>
    <w:uiPriority w:val="0"/>
    <w:rPr>
      <w:rFonts w:hAnsi="黑体"/>
    </w:rPr>
  </w:style>
  <w:style w:type="paragraph" w:customStyle="1" w:styleId="228">
    <w:name w:val="标准文件_脚注内容"/>
    <w:basedOn w:val="38"/>
    <w:qFormat/>
    <w:uiPriority w:val="0"/>
    <w:pPr>
      <w:ind w:left="400" w:leftChars="200" w:hanging="200" w:hangingChars="200"/>
    </w:pPr>
    <w:rPr>
      <w:sz w:val="15"/>
    </w:rPr>
  </w:style>
  <w:style w:type="paragraph" w:customStyle="1" w:styleId="229">
    <w:name w:val="标准文件_术语条二"/>
    <w:basedOn w:val="175"/>
    <w:next w:val="38"/>
    <w:qFormat/>
    <w:uiPriority w:val="0"/>
  </w:style>
  <w:style w:type="paragraph" w:customStyle="1" w:styleId="230">
    <w:name w:val="标准文件_术语条三"/>
    <w:basedOn w:val="174"/>
    <w:next w:val="38"/>
    <w:qFormat/>
    <w:uiPriority w:val="0"/>
  </w:style>
  <w:style w:type="paragraph" w:customStyle="1" w:styleId="231">
    <w:name w:val="标准文件_术语条四"/>
    <w:basedOn w:val="177"/>
    <w:next w:val="38"/>
    <w:qFormat/>
    <w:uiPriority w:val="0"/>
  </w:style>
  <w:style w:type="paragraph" w:customStyle="1" w:styleId="232">
    <w:name w:val="标准文件_术语条五"/>
    <w:basedOn w:val="173"/>
    <w:next w:val="3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0"/>
    <w:qFormat/>
    <w:uiPriority w:val="0"/>
    <w:rPr>
      <w:rFonts w:ascii="黑体" w:eastAsia="黑体"/>
      <w:spacing w:val="85"/>
      <w:w w:val="100"/>
      <w:position w:val="3"/>
      <w:sz w:val="28"/>
      <w:szCs w:val="28"/>
    </w:rPr>
  </w:style>
  <w:style w:type="paragraph" w:customStyle="1" w:styleId="235">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236">
    <w:name w:val="WPSOffice手动目录 1"/>
    <w:qFormat/>
    <w:uiPriority w:val="0"/>
    <w:pPr>
      <w:ind w:leftChars="0"/>
    </w:pPr>
    <w:rPr>
      <w:rFonts w:ascii="Times New Roman" w:hAnsi="Times New Roman" w:eastAsia="宋体" w:cs="Times New Roman"/>
      <w:sz w:val="20"/>
      <w:szCs w:val="20"/>
    </w:rPr>
  </w:style>
  <w:style w:type="paragraph" w:customStyle="1" w:styleId="237">
    <w:name w:val="WPSOffice手动目录 2"/>
    <w:qFormat/>
    <w:uiPriority w:val="0"/>
    <w:pPr>
      <w:ind w:leftChars="200"/>
    </w:pPr>
    <w:rPr>
      <w:rFonts w:ascii="Times New Roman" w:hAnsi="Times New Roman" w:eastAsia="宋体" w:cs="Times New Roman"/>
      <w:sz w:val="20"/>
      <w:szCs w:val="20"/>
    </w:rPr>
  </w:style>
  <w:style w:type="character" w:customStyle="1" w:styleId="238">
    <w:name w:val="目录 3 Char"/>
    <w:link w:val="15"/>
    <w:qFormat/>
    <w:uiPriority w:val="39"/>
    <w:rPr>
      <w:rFonts w:ascii="宋体"/>
    </w:rPr>
  </w:style>
  <w:style w:type="paragraph" w:customStyle="1" w:styleId="23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4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ppy2000qi\Library\Containers\com.kingsoft.wpsoffice.mac\Data\C:\Users\happy2000qi\Library\Containers\com.kingsoft.wpsoffice.mac\Data\D:\Users\happy2000qi\Library\Containers\com.kingsoft.wpsoffice.mac\Data\D:\Users\happy2000qi\Library\Containers\com.kingsoft.wpsoffice.mac\Data\C:\Users\happy2000qi\Library\Containers\com.kingsoft.wpsoffice.mac\Data\D:\Users\happy2000qi\Library\Containers\com.kingsoft.wpsoffice.mac\Data\D:\Users\happy2000qi\Library\Containers\com.kingsoft.wpsoffice.mac\Data\C:\Users\happy2000qi\Library\Containers\com.kingsoft.wpsoffice.mac\Data\C:\Users\happy2000qi\Library\Containers\com.kingsoft.wpsoffice.mac\Data\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1A6BF7337844C4AB24B64923ED78362"/>
        <w:style w:val=""/>
        <w:category>
          <w:name w:val="常规"/>
          <w:gallery w:val="placeholder"/>
        </w:category>
        <w:types>
          <w:type w:val="bbPlcHdr"/>
        </w:types>
        <w:behaviors>
          <w:behavior w:val="content"/>
        </w:behaviors>
        <w:description w:val=""/>
        <w:guid w:val="{3DB254F8-6B99-4DB9-9445-AA5E823B6C2E}"/>
      </w:docPartPr>
      <w:docPartBody>
        <w:p w14:paraId="7FBBD89E">
          <w:pPr>
            <w:pStyle w:val="5"/>
          </w:pPr>
          <w:r>
            <w:rPr>
              <w:rStyle w:val="4"/>
              <w:rFonts w:hint="eastAsia"/>
            </w:rPr>
            <w:t>单击或点击此处输入文字。</w:t>
          </w:r>
        </w:p>
      </w:docPartBody>
    </w:docPart>
    <w:docPart>
      <w:docPartPr>
        <w:name w:val="7CEAB962C1AD44DC8D2BC10E70AC840C"/>
        <w:style w:val=""/>
        <w:category>
          <w:name w:val="常规"/>
          <w:gallery w:val="placeholder"/>
        </w:category>
        <w:types>
          <w:type w:val="bbPlcHdr"/>
        </w:types>
        <w:behaviors>
          <w:behavior w:val="content"/>
        </w:behaviors>
        <w:description w:val=""/>
        <w:guid w:val="{FD65E775-980D-4DC7-BF2F-F3658704EED8}"/>
      </w:docPartPr>
      <w:docPartBody>
        <w:p w14:paraId="2325DFDA">
          <w:pPr>
            <w:pStyle w:val="6"/>
          </w:pPr>
          <w:r>
            <w:rPr>
              <w:rStyle w:val="4"/>
              <w:rFonts w:hint="eastAsia"/>
            </w:rPr>
            <w:t>选择一项。</w:t>
          </w:r>
        </w:p>
      </w:docPartBody>
    </w:docPart>
    <w:docPart>
      <w:docPartPr>
        <w:name w:val="FC8DA23904774BA79D9386B4AB058F38"/>
        <w:style w:val=""/>
        <w:category>
          <w:name w:val="常规"/>
          <w:gallery w:val="placeholder"/>
        </w:category>
        <w:types>
          <w:type w:val="bbPlcHdr"/>
        </w:types>
        <w:behaviors>
          <w:behavior w:val="content"/>
        </w:behaviors>
        <w:description w:val=""/>
        <w:guid w:val="{C5E51A06-481D-4B88-ACC5-D16876704120}"/>
      </w:docPartPr>
      <w:docPartBody>
        <w:p w14:paraId="183E6D8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0099E"/>
    <w:rsid w:val="0020099E"/>
    <w:rsid w:val="00415182"/>
    <w:rsid w:val="00880C0E"/>
    <w:rsid w:val="00884A1A"/>
    <w:rsid w:val="008D2A4F"/>
    <w:rsid w:val="00A16CBB"/>
    <w:rsid w:val="00AD7098"/>
    <w:rsid w:val="00F27A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1A6BF7337844C4AB24B64923ED7836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CEAB962C1AD44DC8D2BC10E70AC840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C8DA23904774BA79D9386B4AB058F3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3946</Words>
  <Characters>4144</Characters>
  <Lines>107</Lines>
  <Paragraphs>30</Paragraphs>
  <TotalTime>6</TotalTime>
  <ScaleCrop>false</ScaleCrop>
  <LinksUpToDate>false</LinksUpToDate>
  <CharactersWithSpaces>4245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2023-01-12T06:19:00Z</dcterms:created>
  <dc:creator>Lenovo</dc:creator>
  <dc:description>&lt;config cover="true" show_menu="true" version="1.0.0" doctype="SDKXY"&gt;_x000d_
&lt;/config&gt;</dc:description>
  <cp:lastModifiedBy>。</cp:lastModifiedBy>
  <cp:lastPrinted>2020-09-07T02:00:00Z</cp:lastPrinted>
  <dcterms:modified xsi:type="dcterms:W3CDTF">2024-07-22T07:53:09Z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BAB09C0076CD0EF2A1E36666D8354BE6_43</vt:lpwstr>
  </property>
</Properties>
</file>